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July 13, 2026</w:t>
      </w:r>
    </w:p>
    <w:p>
      <w:r>
        <w:t>Re: Senior Manager – Pension Investments — RBC Global Asset Management</w:t>
      </w:r>
    </w:p>
    <w:p>
      <w:r>
        <w:t>Dear Hiring Team,</w:t>
      </w:r>
    </w:p>
    <w:p>
      <w:r>
        <w:t>For the past two-plus years at Moody's Analytics I have held delegated sign-off authority on valuation, sensitivity, and portfolio-risk outputs for multi-asset institutional portfolios in the $5–25bn range per engagement — evaluating strategy outputs across curve construction, spread calibration, and cross-asset interactions before every production release. Before Moody's, I spent nearly three years at Ortec Finance delivering ALM and LDI studies for Canadian pension funds and presenting allocation and hedging recommendations directly to investment committees on-site. The Senior Manager – Pension Investments role at RBC Global Asset Management is the natural convergence of both chapters.</w:t>
      </w:r>
    </w:p>
    <w:p>
      <w:r>
        <w:t>The accountabilities on your posting map directly onto what I already do. On manager and strategy evaluation, my Ortec engagements benchmarked public and private mandates against liability objectives across funded-status scenarios; my current Moody's role reviews strategy outputs at the institutional level prior to release. On risk monitoring, I run duration, VaR, and CVaR analytics with risk decomposition and near-optimal frontier robustness testing via Ortec GLASS, and I designed the multi-scenario cash-flow projection and liquidity-gap engine now used across the institutional book. On liability hedging and derivative overlays, I have modelled duration, currency, inflation, and leverage overlays for a three-plan JSPP merger (UPP) and continue to validate derivative sensitivities feeding hedging portfolios today. On tooling, I have rebuilt Excel-driven workflows into Python analytics pipelines and use Python and SQL daily. On ESG, I have not run formal ESG-scoring processes, but I am a fast learner on new frameworks and hold the CFA charter, which covers ESG integration at the portfolio level.</w:t>
      </w:r>
    </w:p>
    <w:p>
      <w:r>
        <w:t>What draws me specifically to RBC GAM is the fiduciary framing of overseeing both DB funded-status stability and DC participant capital accumulation from within an in-house pension team — that combination of liability discipline and participant outcome focus is exactly where I want to spend the next chapter. I hold the CFA charter and dual MSc degrees in Financial Modelling and Chemical Engineering from Western University. I am Toronto-based, available for interviews immediately, and can start approximately four weeks after offer acceptance.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