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Market Risk Manager candidate with ~7 years across market, interest-rate, and liquidity risk analytics, fixed-income valuation and credit-spread sensitivities, and independent review and challenge within a model-governance framework analogous to a second line of defense mandate. Holds delegated sign-off authority on valuation, sensitivity, and risk outputs for multi-asset institutional portfolios ($5-25bn per engagement) at Moody's Analytics. Deep fixed-income valuation and risk-sensitivity expertise; stress and scenario analysis; VaR/CVaR portfolio risk from Ortec. CFA charter and dual MSc.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Market &amp; Interest-Rate Risk Measurement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Fixed Income Valuation &amp; Risk Sensitivities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Liquidity Risk &amp; Cash-Flow Projection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Independent Review &amp; Challenge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Stress Testing &amp; Scenario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VaR / CVaR &amp; Risk Decomposition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Governance, Documentation &amp; Benchmarking Standards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&amp; SQL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Stakeholder &amp; Executive Communication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CFA Charterholder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 (Investment &amp; ALM Risk Lead)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Independent Review, Challenge &amp; Market Risk Measurement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risk outputs delivered to multi-asset institutional portfolios ranging $5-25bn per engagement (~$50bn+ cumulative) - independently reviewing curve construction, spread calibration, and cross-asset interactions prior to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 derivatives pricing outputs across rates, FX, and inflation, ensuring consistency of risk sensitivities and scenario impacts at portfolio-level aggregates.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Escalate outputs lacking mathematical or economic defensibility; serve as escalation point for client-critical analytical issues, interfacing with Heads of Risk and investment stakeholders.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Member of the model governance committee - contributing to methodology review, documentation and benchmarking standards, and model-performance assessment for client-delivered analytics.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Interest Rate, Liquidity &amp; Stress Analytics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Oversee interest-rate risk and duration analysis under parallel and non-parallel rate shocks, aligned with Basel-style interest-rate risk standards.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of a multi-asset cash-flow projection engine supporting base, stress, and reverse-stress scenarios - delivering forward-looking liquidity visibility across risk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 gap analytics (T+1 through multi-year) enabling funding and refinancing-risk assessment.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Stakeholder Communication, Tooling &amp; Mentorship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analytical summaries for senior stakeholders on interest-rate exposure, scenario impacts, and balance-sheet sensitivities - translating quantitative outputs into decision-ready narratives.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scalable, auditable Python analytics pipelines; contributed to mentorship of junior colleagues on validation and review practices.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analytics platform (PFaroe DB and PFaroe PM).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Served as technical liaison between client investment teams and product owners; advised on asset, liability, and risk configurations and validated model outputs post-deployment.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aligning regulatory requirements with risk and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actuarial, IT, finance, and program functions on standards adoption; contributed to governance documentation and regulatory-readiness processes.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portfolio optimization on VaR and CVaR using Ortec's GLASS platform, with risk decomposition, attribution, and near-optimal frontier robustness analysis.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interest-rate risk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cash-flow, liquidity, and hedging analysis across interest-rate, inflation, and currency risk for international institutional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analyzing funding ratios, duration mismatch, and long-term balance-sheet risk; presented findings to investment committees at pension-fund clients.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