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Associate Director, Senior Business Analyst (Capital Markets) candidate with ~7 years bridging institutional business stakeholders and data/engineering teams across ALM, risk, and client analytics. Performs business analysis to translate complex, ambiguous requirements into precise data specifications, functional specifications, and validated outputs; holds delegated sign-off on multi-asset portfolios ($5-25bn per engagement) at Moody's Analytics. Hands-on SQL and Python, reference-data governance, risk-metric and return calculations, data validation, Agile delivery, and senior-stakeholder communication. CFA and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Business Analysis &amp; Requirements Definition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Functional Specifications &amp; Data Requirements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Data Modeling &amp; Data Validation (SQL)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Reference Data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Metrics &amp; Return Calculations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Stakeholder Engagement &amp; Presentation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Agile / Scrum Delivery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Analytics Pipelines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Excel &amp; Data Visualization (Plotly)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Requirements, Data Specifications &amp; Validation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Held delegated sign-off authority on valuation, sensitivity, and ALM outputs for multi-asset institutional portfolios ($5-25bn per engagement, ~$50bn+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and return calculations feeding downstream ALM and capital processes, establishing data validation and quality-control protocols.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Escalated outputs lacking mathematical or economic defensibility and served as escalation point for client-critical analytical issues, interfacing with clients'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Analytics Platform Delivery &amp; Governance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developing data requirements and functional specifications with data-engineering teams.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Member of the model governance committee, contributing to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and SQL (PostgreSQL) analytics pipelines with embedded logging and validation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Cursor) automating code generation, validation scaffolding, and anomaly detection, reducing development cycle time an estimated 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DB (risk &amp; ALM)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owners, performing business analysis to scope requirements into structured development requests and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the legacy Calypso platform to PFaroe PM.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clients, aligning regulatory requirements with system implementation and 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project-management teams on milestone delivery, requirements documentation,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investors, analyzing funding ratios, duration mismatch, and long-term balance-sheet risk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and funding-volatility risk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 and attribution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ALM study findings and allocation recommendations to investment committees at Canadian pension-fund clients on-site.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