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Associate Director, Senior Business Analyst (Capital Markets) with ~7 years translating complex institutional-investor requirements into data specifications, validated analytics, and enterprise platform delivery across ALM, portfolio risk, and multi-asset client books. Currently at Moody's Analytics with delegated sign-off on valuation and analytical outputs for portfolios of $5-25bn per engagement; earlier roles at EY (financial-reporting transformation) and Ortec Finance (pension ALM advisory). Advanced SQL, Python, and Excel; Agile/Scrum delivery; CFA charterholder with dual MSc.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Business Analysis &amp; Requirements Definition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Data Modeling &amp; SQL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&amp; Excel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Reference Data &amp; Data Quality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Agile / Scrum Delivery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Client Stakeholder Engagement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&amp; Regulatory Domain Knowledge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Enterprise Analytics Platform Delivery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Senior Stakeholder Presentation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PROFESSIONAL 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Director, Modelling Services (Investment &amp; ALM Risk Lead)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Requirements Definition &amp; Client Analytics Delivery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Translate complex institutional-investor requirements into functional data specifications and analytical solutions for multi-asset client portfolios ranging $5-25bn per engagement (~$50bn cumulative book); hold delegated sign-off on valuation, sensitivity, and ALM outputs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 curve construction, spread calibration, cross-asset interactions, and reference-data inputs — escalating outputs that lack mathematical or economic defensibility before client delivery.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 analytical summaries and presentations for senior client stakeholders (Heads of Risk, investment committees) covering exposures, scenario impacts, and balance-sheet sensitivities.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Data Modeling, SQL &amp; Enterprise Platform Delivery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cash-flow projection engine (base, stress, reverse-stress) — defined aggregation logic converting security-level exposures into portfolio-level metrics, with embedded data-quality controls and validation protocols.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analytics (T+1 to multi-year) on PFaroe DB and PFaroe PM; re-engineered manual Excel workflows into auditable Python and SQL pipelines with logging and data-quality checks.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Cursor) automating code generation, validation scaffolding, and documentation — reducing delivery cycle time an estimated 30-40% on comparable modules.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Governance, Agile Delivery &amp; Cross-Functional Collaboration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Member of the Modelling Services governance forum — contribute to methodology review, documentation standards, and model-performance assessment feeding downstream risk and capital processes.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Collaborate with Product Owners and engineering in Agile/Scrum ceremonies (sprint planning, backlog grooming, acceptance criteria) to drive end-to-end delivery of analytical platform features against business requirements.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analytics platform — scoped client investment-team requirements into structured Product Owner tickets and validated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Migrated all assigned client accounts from legacy Calypso to PFaroe PM, translating business requirements into technical deliverables across product and development teams.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Consultant, IFRS &amp;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data and reporting transformation for Canadian and international insurance clients — developed requirements documentation reconciling actuarial, finance, IT, and program-management stakeholders.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across cross-functional teams on milestone delivery, governance documentation, and regulatory-readiness collateral; contributed to go-to-market materials for IFRS 17 advisory offerings.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Consultant, ALM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and investment-risk studies for Canadian and international pension funds — analyzed duration, currency, inflation, and leverage strategies against funding-ratio and return objectives.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validated stochastic economic scenario generators; performed portfolio optimization (VaR / CVaR, asset-only and asset-liability) on the GLASS platform, with risk decomposition and attribution supporting investment-committee recommendations.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findings to client investment committees; led onboarding and ALM study for a three-plan university pension merger on a team of three.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