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July 14, 2026</w:t>
      </w:r>
    </w:p>
    <w:p>
      <w:r>
        <w:t>Re: Associate Director, Senior Business Analyst (Capital Markets) — Royal Bank of Canada</w:t>
      </w:r>
    </w:p>
    <w:p>
      <w:r>
        <w:t>Dear Hiring Team,</w:t>
      </w:r>
    </w:p>
    <w:p>
      <w:r>
        <w:t>At Moody's Analytics I spend my week doing exactly what the Associate Director, Senior Business Analyst (Capital Markets) role is built around: translating complex, ambiguous requirements from institutional clients into precise data specifications, reference-data logic, and validated analytics delivered on an enterprise platform. I hold delegated sign-off on valuation, sensitivity, and analytical outputs for multi-asset client portfolios of $5-25bn per engagement, and I work directly with client Heads of Risk, finance, and investment stakeholders on the acceptance criteria those outputs must satisfy.</w:t>
      </w:r>
    </w:p>
    <w:p>
      <w:r>
        <w:t>The capabilities RBC's Client Revenue Analytics, Client Resource Consumption, Client Plan, and Client Wallet initiatives require map cleanly onto what I do day-to-day. I led design of a multi-scenario cash-flow projection engine, defining the data models and aggregation logic that convert security-level exposures into portfolio-level metrics — the same structural problem as calculating client value across CIB transactions and Global Markets trades. I write advanced SQL and Python daily against relational data stores, re-engineered Excel-driven workflows into auditable pipelines with embedded data-quality controls, and collaborate with Product Owners and engineering in Agile/Scrum ceremonies to move requirements from backlog to production. My earlier EY IFRS 17/9 transformation work and Ortec ALM advisory sharpened the ability to hold alignment across risk, finance, actuarial, and technology teams under deadline pressure.</w:t>
      </w:r>
    </w:p>
    <w:p>
      <w:r>
        <w:t>What draws me specifically to RBC Capital Markets is the scope of the client-value mandate — foundational reference data plus advanced analytics feeding profitability, resource-efficiency, and strategic-opportunity decisions across CIB and Global Markets. That is where practitioner depth in requirements definition, SQL and data-modeling fluency, and CFA-level product intuition compound. I hold the CFA charter and dual MSc degrees (Financial Modelling; Chemical Engineering) from Western University, and I am based in Toronto and available for on-premise collaboration.</w:t>
      </w:r>
    </w:p>
    <w:p>
      <w:r>
        <w:t>I am available immediately for interviews and can start approximately four weeks after offer. Resume attached; references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