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Associate Vice President, Investment Strategist candidate with ~7 years across multi-asset portfolio analytics, macroeconomic research and scenario analysis, and asset allocation advisory. Delivers duration, yield curve, and credit-exposure analysis and translates it into investment-committee-ready narratives at Moody's Analytics, holding delegated sign-off on outputs for institutional portfolios ($5-25bn per engagement). Prior LDI and strategic asset allocation advisory for Canadian pension funds at Ortec Finance. CFA charterholder; dual MSc in Financial Modelling and Chemical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Strategy &amp; Asset Allocation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Macroeconomic Research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Construction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Income, Duration &amp; Yield Curve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Credit &amp; Sector Exposure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Communications &amp; Presentations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Investment-Committee Presentation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Data Visualization (Plotly, matplotlib)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Strategy &amp; Portfolio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portfolio-level outputs for multi-asset institutional portfolios of $5-25bn per engagement (~$50bn+ cumulative) - independently reviewing curve construction, spread calibration, and cross-asset interactions.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Analyzed portfolio exposures and risks - duration positioning, yield-curve sensitivity, credit and cross-asset exposures, and security- to portfolio-level aggregation - across multi-asset institutional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outputs across rates, FX, and inflation, ensuring consistency of sensitivities and scenario impacts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Macroeconomic Research &amp; Scenario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Designed and delivered a multi-scenario cash-flow projection engine supporting base, stress, and reverse-stress scenarios, embedding macro stress overlays and behavioural assumptions.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time-bucketed liquidity and exposure analytics (T+1 through multi-year) informing funding, refinancing,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feeding recurring charts and dashboards used across delivery teams.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Communication &amp; Stakeholder Engagement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and delivered analytical summaries for senior stakeholders on interest-rate exposure, scenario impacts, and balance-sheet sensitivities - translating quantitative outputs into decision-ready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escalation point for client-critical analytical issues, interfacing directly with clients' Heads of Risk and investment stakeholders.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platform, translating investment-team requirements into configuration and validation work.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asset, liability, and allocation configurations and validated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Canadian and international pension funds on Strategic Asset Allocation (SAA) and Tactical Asset Allocation (TAA) trade-offs via stress testing and sensitivity analysis - presenting findings to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risk, funding volatility, and market cycles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attribution, and near-optimal 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- trade-offs across return objectives, duration alignment, and liquidity - and cash-flow, liquidity, and hedging analysis across interest-rate, inflation, and currency risk.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coordinating across actuarial, finance, IT, and risk functions.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advisory product offerings and go-to-market collateral, and contributed to governance documentation and regulatory-readiness processes.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