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Model Validation (Questbank) candidate with ~7 years across independent model review, validation, and risk governance at Moody's Analytics, EY, and Ortec Finance. Operates within a formal model-governance framework with delegated sign-off on valuation, sensitivity, and ALM outputs, assessing conceptual soundness, data quality, and economic defensibility. Strong statistical modeling and Python foundation; applied familiarity with OSFI E-23, IFRS 9 credit risk / ECL. CFA charter plus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Validation &amp;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&amp; Governance (OSFI E-23-aligned)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Statistical Modeling &amp; Machine Learning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Credit Risk &amp; Expected Credit Loss (ECL) / IFRS 9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Credit &amp; Financial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Conceptual Soundness &amp; Data Quality Assessment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 &amp; MATLAB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Validation Reporting &amp; Stakeholder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Validation &amp; Model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($5-25bn per engagement, $50bn+ cumulative) -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 governance committee -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framework: review assumptions, assess conceptual soundness and economic defensibility, and escalate outputs lacking mathematical support - with documentation aligned to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ensuring consistency of sensitivities and scenario impacts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Quality, Stress Testing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metrics, assessing data quality and suitability feeding downstream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of a multi-asset cash flow projection engine supporting base, stress, and reverse-stress scenarios, embedding behavioral assumptions and macro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validation reports and analytical summaries for senior stakeholders and clients' Heads of Risk, translating quantitative findings into decision-ready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validation scaffolding, anomaly detection, and documentation - reducing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and PFaroe PM analytics platforms;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product/development functions, translating requirements into structured development requests.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(credit risk / ECL) transformation projects for Canadian and international insurance clients, aligning regulatory requirements with model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IFRS 9 / IFRS 17 adoption;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validated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 and robustness testing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development and validation of the model capturing all Funding Policy dynamics for a three-plan university pension merger, evaluating duration, currency, inflation, and leverage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model findings and risk analyses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