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July 15, 2026</w:t>
      </w:r>
    </w:p>
    <w:p>
      <w:r>
        <w:t>Re: Senior Manager Model Validation — Questrade</w:t>
      </w:r>
    </w:p>
    <w:p>
      <w:r>
        <w:t>Dear Hiring Team,</w:t>
      </w:r>
    </w:p>
    <w:p>
      <w:r>
        <w:t>I operate within a formal model-governance framework at Moody's Analytics, holding delegated sign-off authority on valuation, sensitivity, and risk outputs for multi-asset institutional portfolios and independently reviewing conceptual soundness, data quality, and economic defensibility before production release. That is the core of the Senior Manager, Model Validation (Questbank) mandate, and I would like to be considered for it.</w:t>
      </w:r>
    </w:p>
    <w:p>
      <w:r>
        <w:t>Over roughly seven years I have built the exact validation muscle this role requires. At Moody's I sit on the model governance committee, contribute to methodology and benchmarking standards, and serve as the escalation point when outputs are mathematically defensible but economically wrong - work documented to standards consistent with SR 11-7 and OSFI E-23. My statistical and machine-learning foundation is hands-on: stochastic scenario generators, VaR/CVaR portfolio optimization with risk decomposition at Ortec Finance, and Python-based validation pipelines with embedded logging and auditability. At EY I delivered IFRS 9 and IFRS 17 transformation for Canadian insurers, so ECL mechanics and the regulatory-readiness discipline around them are familiar ground rather than theory.</w:t>
      </w:r>
    </w:p>
    <w:p>
      <w:r>
        <w:t>What draws me to Questbank specifically is the breadth of the validation scope - credit origination, account management, and ECL models under one independent-challenge function, built with an explicitly AI-forward mandate. My daily use of agentic development workflows (Claude Code, Cursor) to accelerate validation scaffolding and anomaly detection maps directly onto QFG's ambition to let AI raise the bar on rigor rather than replace it. I hold the CFA charter and dual MSc degrees in Financial Modelling and Chemical Engineering from Western University, which anchor the quantitative depth this team demands.</w:t>
      </w:r>
    </w:p>
    <w:p>
      <w:r>
        <w:t>I am based in Toronto, comfortable with a hybrid schedule, available for interviews immediately, and can start approximately four weeks after an offer. My resume is attached and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