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Business-analysis and financial-analytics professional with ~7 years translating complex, ambiguous requirements into data and analytics solutions across financial institutions — the profile an Associate Director, Senior Business Analyst (Capital Markets) role demands. At Moody's Analytics, bridges business and technology teams from requirements and functional specifications through data validation, and holds delegated sign-off on valuation and risk outputs for multi-asset portfolios ($5–25bn per engagement). Fluent in SQL, Python, and advanced Excel; a proven communicator to senior stakeholders.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Business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Requirements &amp; Functional Specifications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Analysis &amp; Validation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SQL, Python &amp; Advanced Excel</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Data Quality &amp; Governance</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Capital Markets Products &amp; Data</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Derivatives Valuation &amp; Pricing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Cross-Functional Project Delivery</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Senior-Stakeholder Communication</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 – Asset Management &amp; Buy-Side Solutions</w:t>
      </w:r>
    </w:p>
    <w:p>
      <w:pPr>
        <w:keepNext/>
        <w:spacing w:before="0" w:after="0" w:line="240" w:lineRule="auto"/>
      </w:pPr>
      <w:r>
        <w:rPr>
          <w:rFonts w:ascii="Avenir Next LT Pro" w:hAnsi="Avenir Next LT Pro" w:cs="Avenir Next LT Pro"/>
          <w:b/>
          <w:i/>
          <w:color w:val="1A1A1A"/>
          <w:sz w:val="21"/>
        </w:rPr>
        <w:t>Asst. Director – Modelling Services</w:t>
      </w:r>
    </w:p>
    <w:p>
      <w:pPr>
        <w:keepNext/>
        <w:spacing w:before="0" w:after="40" w:line="240" w:lineRule="auto"/>
      </w:pPr>
      <w:r>
        <w:rPr>
          <w:rFonts w:ascii="Avenir Next LT Pro" w:hAnsi="Avenir Next LT Pro" w:cs="Avenir Next LT Pro"/>
          <w:b w:val="0"/>
          <w:i/>
          <w:color w:val="1A1A1A"/>
          <w:sz w:val="21"/>
        </w:rPr>
        <w:t>Toronto, May 2023 – Present</w:t>
      </w:r>
    </w:p>
    <w:p>
      <w:pPr>
        <w:keepNext/>
        <w:spacing w:before="60" w:after="20" w:line="240" w:lineRule="auto"/>
      </w:pPr>
      <w:r>
        <w:rPr>
          <w:rFonts w:ascii="Avenir Next LT Pro" w:hAnsi="Avenir Next LT Pro" w:cs="Avenir Next LT Pro"/>
          <w:b/>
          <w:i w:val="0"/>
          <w:color w:val="1A1A1A"/>
          <w:sz w:val="21"/>
        </w:rPr>
        <w:t>Business &amp; Data Requirements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technical liaison between institutional clients' business teams and product/development functions, translating complex investment and analytics requirements into structured Product Owner requests and functional specifications.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Define and validate data and model requirements for multi-asset valuation, sensitivity, and ALM analytics — reviewing curve construction, spread calibration, and cross-asset inputs for accuracy and business alignment before release.</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ALM outputs across multi-asset institutional portfolios ($5–25bn per engagement; $50bn+ cumulative), ensuring outputs meet business and analytical standards.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aggregation logic converting security-level exposures into portfolio-level risk metrics feeding downstream ALM and capital processes.</w:t>
      </w:r>
    </w:p>
    <w:p>
      <w:pPr>
        <w:keepNext/>
        <w:spacing w:before="60" w:after="20" w:line="240" w:lineRule="auto"/>
      </w:pPr>
      <w:r>
        <w:rPr>
          <w:rFonts w:ascii="Avenir Next LT Pro" w:hAnsi="Avenir Next LT Pro" w:cs="Avenir Next LT Pro"/>
          <w:b/>
          <w:i w:val="0"/>
          <w:color w:val="1A1A1A"/>
          <w:sz w:val="21"/>
        </w:rPr>
        <w:t>Analytics Delivery &amp; Data Pipelines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end-to-end delivery of an enterprise multi-asset cash-flow projection and scenario engine (base, stress, reverse-stress) — from requirements scoping and success criteria through production monitoring.</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liquidity-gap analytics (T+1 through multi-year) supporting funding, refinancing, and asset-allocation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Re-engineered manual spreadsheet workflows into scalable, auditable Python data pipelines with embedded data-validation and logging controls.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agentic AI development workflows (Claude Code, Cursor IDE) automating data validation, anomaly detection, and documentation — cutting delivery cycle time an estimated 30–40%.</w:t>
      </w:r>
    </w:p>
    <w:p>
      <w:pPr>
        <w:keepNext/>
        <w:spacing w:before="60" w:after="20" w:line="240" w:lineRule="auto"/>
      </w:pPr>
      <w:r>
        <w:rPr>
          <w:rFonts w:ascii="Avenir Next LT Pro" w:hAnsi="Avenir Next LT Pro" w:cs="Avenir Next LT Pro"/>
          <w:b/>
          <w:i w:val="0"/>
          <w:color w:val="1A1A1A"/>
          <w:sz w:val="21"/>
        </w:rPr>
        <w:t>Data Quality, Governance &amp; Stakeholder Communication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Operate within a formal model-governance framework — establishing data quality and validation standards and escalating outputs lacking economic or mathematical defensibility.</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 analytical findings and scenario impacts to senior business stakeholders and clients' Heads of Risk, translating complex quantitative outputs into decision-ready narratives and securing alignment.</w:t>
      </w:r>
    </w:p>
    <w:p>
      <w:pPr>
        <w:keepNext/>
        <w:spacing w:before="0" w:after="0" w:line="240" w:lineRule="auto"/>
      </w:pPr>
      <w:r>
        <w:rPr>
          <w:rFonts w:ascii="Avenir Next LT Pro" w:hAnsi="Avenir Next LT Pro" w:cs="Avenir Next LT Pro"/>
          <w:b/>
          <w:i/>
          <w:color w:val="1A1A1A"/>
          <w:sz w:val="21"/>
        </w:rPr>
        <w:t>Client Service Specialist – Platform Onboarding &amp; Analytics</w:t>
      </w:r>
    </w:p>
    <w:p>
      <w:pPr>
        <w:keepNext/>
        <w:spacing w:before="0" w:after="40" w:line="240" w:lineRule="auto"/>
      </w:pPr>
      <w:r>
        <w:rPr>
          <w:rFonts w:ascii="Avenir Next LT Pro" w:hAnsi="Avenir Next LT Pro" w:cs="Avenir Next LT Pro"/>
          <w:b w:val="0"/>
          <w:i/>
          <w:color w:val="1A1A1A"/>
          <w:sz w:val="21"/>
        </w:rPr>
        <w:t>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 — gathering requirements and validating data and model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the migration of all assigned client accounts from the legacy Calypso platform to PFaroe, coordinating across client, product, and engineering teams.</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0" w:line="240" w:lineRule="auto"/>
      </w:pPr>
      <w:r>
        <w:rPr>
          <w:rFonts w:ascii="Avenir Next LT Pro" w:hAnsi="Avenir Next LT Pro" w:cs="Avenir Next LT Pro"/>
          <w:b/>
          <w:i/>
          <w:color w:val="1A1A1A"/>
          <w:sz w:val="21"/>
        </w:rPr>
        <w:t>Senior Consultant – IFRS &amp; Financial Risk Transformation</w:t>
      </w:r>
    </w:p>
    <w:p>
      <w:pPr>
        <w:keepNext/>
        <w:spacing w:before="0" w:after="40" w:line="240" w:lineRule="auto"/>
      </w:pPr>
      <w:r>
        <w:rPr>
          <w:rFonts w:ascii="Avenir Next LT Pro" w:hAnsi="Avenir Next LT Pro" w:cs="Avenir Next LT Pro"/>
          <w:b w:val="0"/>
          <w:i/>
          <w:color w:val="1A1A1A"/>
          <w:sz w:val="21"/>
        </w:rPr>
        <w:t>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insurance clients — gathering requirements and aligning finance, actuarial, IT, and risk functions on data sourcing and system implementation.</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Built shared requirements documentation and drove milestone delivery across cross-functional program teams.</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0" w:line="240" w:lineRule="auto"/>
      </w:pPr>
      <w:r>
        <w:rPr>
          <w:rFonts w:ascii="Avenir Next LT Pro" w:hAnsi="Avenir Next LT Pro" w:cs="Avenir Next LT Pro"/>
          <w:b/>
          <w:i/>
          <w:color w:val="1A1A1A"/>
          <w:sz w:val="21"/>
        </w:rPr>
        <w:t>Consultant – Asset-Liability Management &amp; Risk</w:t>
      </w:r>
    </w:p>
    <w:p>
      <w:pPr>
        <w:keepNext/>
        <w:spacing w:before="0" w:after="40" w:line="240" w:lineRule="auto"/>
      </w:pPr>
      <w:r>
        <w:rPr>
          <w:rFonts w:ascii="Avenir Next LT Pro" w:hAnsi="Avenir Next LT Pro" w:cs="Avenir Next LT Pro"/>
          <w:b w:val="0"/>
          <w:i/>
          <w:color w:val="1A1A1A"/>
          <w:sz w:val="21"/>
        </w:rPr>
        <w:t>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ALM and portfolio studies for pension funds and institutional investors — analyzing large financial and economic datasets to inform strategic allocation decisions.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VaR/CVaR portfolio optimization and risk decomposition on the GLASS platform and built stochastic scenario generators, translating results into recommendations for investment committees.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findings to investment committees and senior stakeholders on-site to support allocation decisions.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