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July 15, 2026</w:t>
      </w:r>
    </w:p>
    <w:p>
      <w:r>
        <w:t>Re: Associate Director Senior Business Analyst Capital Markets — RBC</w:t>
      </w:r>
    </w:p>
    <w:p>
      <w:r>
        <w:t>Dear Hiring Team,</w:t>
      </w:r>
    </w:p>
    <w:p>
      <w:r>
        <w:t>At Moody's Analytics I spend my days doing the core of the Associate Director, Senior Business Analyst (Capital Markets) role: translating complex, ambiguous requirements from institutional business stakeholders into precise data specifications and validated analytics, then bridging those requirements to the data and engineering teams who build them. That is exactly what RBC Capital Markets needs to turn client-value measurement into scalable data platforms.</w:t>
      </w:r>
    </w:p>
    <w:p>
      <w:r>
        <w:t>Over ~7 years I have sat between business and technology on data-intensive initiatives. I hold delegated sign-off on valuation, sensitivity, and risk outputs for multi-asset portfolios ($5-25bn per engagement), where my mandate covers reference-data and assumption validation, portfolio-level risk metrics and return calculations, and the aggregation logic that rolls security-level exposures into reporting. On the delivery side I re-engineered manual workflows into auditable Python and SQL pipelines (PostgreSQL day-to-day), scope requirements into structured Product Owner requests in Agile scrum settings, and present technical solutions to senior stakeholders and Heads of Risk to secure acceptance. Earlier, I led all assigned client migrations from legacy Calypso to the PFaroe platforms and delivered IFRS transformation programs at EY coordinating actuarial, finance, IT, and risk teams.</w:t>
      </w:r>
    </w:p>
    <w:p>
      <w:r>
        <w:t>What draws me to this role is the mandate itself - building the foundational data and analytics platforms that measure client profitability and resource efficiency across Corporate and Investment Banking and Global Markets. My model-governance grounding means I define data-quality standards and validation protocols that survive audit, and my CFA plus dual MSc give me the domain and quantitative fluency to challenge the numbers, not just move them.</w:t>
      </w:r>
    </w:p>
    <w:p>
      <w:r>
        <w:t>I am based in Toronto, available for interviews immediately, and can start approximately four weeks after offer acceptance. My resume is attached and references are available on request. Thank you for your consideration.</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