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Quantitative Advisor - Model Risk Management candidate with ~7 years across model governance, derivatives-pricing validation, and quantitative risk analytics. Operates within a formal model-governance framework at Moody's Analytics with delegated sign-off on valuation, sensitivity, and risk outputs, independently reviewing pricing models' conceptual soundness, curve calibration, and cross-asset behavior against SR 11-7-aligned standards. Python-fluent, with derivatives (rates, FX, inflation) and stochastic/Monte Carlo depth. CFA charterholder and dual MSc (Financial Modelling, Chemical Engineering).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Risk Management (MRM)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SR 11-7-aligned governance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Pricing-model validation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Derivatives (rates, FX, inflation)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Independent review &amp; challenge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Model documentation &amp; certification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 &amp; MATLAB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Stochastic / Monte Carlo simulation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Stress testing &amp; scenario analysis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Risk metrics &amp; sensitivities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Curve construction &amp; spread calibration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Cross-functional stakeholder engagement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- Modelling Services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Model Governance, Review &amp; Certification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 delegated sign-off authority on valuation, sensitivity, and risk outputs for multi-asset institutional portfolios ($5-25bn per engagement; $50bn+ cumulative) - independently reviewing curve construction, spread calibration, and cross-asset interactions prior to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Operate within a formal model-governance framework as a member of the model governance committee, reviewing methodology, benchmarking standards, assumption validity, and model-performance assessment consistent with SR 11-7-aligned expectations.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Escalate outputs lacking mathematical or economic defensibility; serve as escalation point for client-critical analytical issues, interfacing with Heads of Risk and investment stakeholders.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Pricing-Model Validation &amp; Risk Metrics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 derivatives pricing models across rates, FX, and inflation - cross-checking sensitivity consistency and scenario impacts at portfolio-level risk aggregates.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 aggregation logic converting security-level exposures into portfolio-level risk metrics feeding downstream risk and capital processes.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Oversee interest-rate risk and duration analysis under parallel and non-parallel rate shocks, reviewing conceptual soundness and accuracy of the underlying methodology.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Monitoring Methodology &amp; Tooling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scalable, auditable Python analytics pipelines with embedded logging, validation, and documentation controls.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agentic-AI development workflows (Claude Code, Cursor IDE) automating code generation, validation scaffolding, and anomaly detection - reducing development cycle time by an estimated 30-40% on comparable modules.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Prepared analytical documentation and summaries for senior stakeholders on exposure, scenario impacts, and sensitivities, meeting internal governance and documentation standards.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Served as technical liaison between institutional client investment teams and product/development functions - translating quantitative requirements into structured development requests and validating model outputs post-deployment.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implementation for U.S. and Canadian pension funds, asset managers, and consulting firms across the PFaroe DB (risk &amp; ALM) and PFaroe PM (portfolio management) platforms.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- Financial Risk Transformation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transformation projects for insurance clients, aligning regulatory requirements with system implementation and contributing to governance documentation and regulatory-readiness processes.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Coordinated across actuarial, finance, IT, risk, and program-management functions on milestone delivery and implementation materials.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- Asset-Liability Management &amp; Risk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 w:val="0"/>
          <w:i/>
          <w:color w:val="1A1A1A"/>
          <w:sz w:val="21"/>
        </w:rPr>
        <w:t>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for stress testing of interest-rate risk and funding volatility under base-case and stressed environments.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portfolio optimization on VaR and CVaR using Ortec's GLASS platform, with risk decomposition, risk attribution, and near-optimal frontier robustness analysis.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cash flow, liquidity, and hedging analysis across interest-rate, inflation, and currency risk for international institutional clients; presented findings to investment committees.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-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-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-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