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Investment Director candidate with ~7 years across institutional investment research, portfolio risk analytics, and alternatives-focused due diligence at Moody's Analytics and Ortec Finance. Depth in VaR/CVaR portfolio optimization, risk decomposition, macroeconomic scenario analysis, and LDI across multi-asset mandates, with sign-off authority on outputs for portfolios of $5-25bn per engagement. Fluent in Python and stochastic modelling; CFA charterholder with dual MSc in Financial Modelling and Chemical Engineering.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Research &amp; Due Diligence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Management &amp; Optimization (VaR / CVaR)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Decomposition &amp; Performance Attribution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Macroeconomic Research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Multi-Asset &amp; Alternative Strategies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Financial Instruments &amp; Derivatives Valuation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Memoranda &amp; Executive Briefs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&amp; SQL for Investment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International Markets &amp; Institutional Clients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 — Asset Management &amp; Buy-Side Solutions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— Modelling Services (Investment &amp; ALM Risk Lead)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Investment Analysis &amp; Portfolio Oversight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portfolio risk outputs for multi-asset institutional portfolios of $5-25bn per engagement ($50bn+ cumulative), independently reviewing curve construction, spread calibration, and cross-asset interactions.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valuation outputs across rates, FX, and inflation, ensuring consistency of sensitivities and scenario impacts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exposures into portfolio-level risk metrics feeding downstream investment and capital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Scenario Analysis &amp; Executive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of a multi-asset cash-flow projection engine supporting base, stress, and reverse-stress scenarios, delivering forward-looking visibility across investment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and periodic briefs for senior stakeholders on interest-rate exposure, scenario impacts, and balance-sheet sensitivities, translating quantitative outputs into investment-committee-ready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Escalated outputs lacking economic defensibility, serving as escalation point on client-critical analytical issues for Heads of Risk and investment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(pandas, NumPy, SciPy) and SQL analytics pipelines; deployed agentic-AI workflows (Claude Code, Cursor) reducing development cycle time ~30-40% on comparable modules.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for U.S. and Canadian pension funds, asset managers, and consulting firms migrating to the PFaroe DB and PFaroe PM analytics platforms; translated investment-team requirements into structured development requests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the full implementation lifecycle across multiple stakeholders, migrating all assigned client accounts from the legacy Calypso platform on schedule.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—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program-management teams on milestone delivery and governance documentation in multi-stakeholder environments.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—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decomposition, risk budgeting, and near-optimal frontier analysis to test allocation robustness.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to assess macroeconomic, interest-rate, and funding-volatility exposures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investment and ALM studies for Canadian and international pension funds and institutional investors across all major asset classes, covering duration, currency, and inflation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investment findings to investment committees on-site, advising on Strategic and Tactical Asset Allocation trade-offs via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Modelled pension actuarial liabilities alongside major investment-product types and economic variables; led onboarding and the study for a three-plan university pension merger on a team of three.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