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r>
        <w:t>July 16, 2026</w:t>
      </w:r>
    </w:p>
    <w:p>
      <w:r>
        <w:t>Re: Investment Director — Confidential</w:t>
      </w:r>
    </w:p>
    <w:p>
      <w:r>
        <w:t>Dear Hiring Team,</w:t>
      </w:r>
    </w:p>
    <w:p>
      <w:r>
        <w:t>I currently lead investment research and portfolio-risk analysis on multi-asset institutional portfolios at Moody's Analytics, holding delegated sign-off authority on valuation, sensitivity, and portfolio-risk outputs for books of $5-25bn per engagement. That combination of research depth and operational rigor is exactly what your Investment Director role calls for, and I would like to be considered.</w:t>
      </w:r>
    </w:p>
    <w:p>
      <w:r>
        <w:t>My work maps directly onto the three pillars of this mandate. On due diligence and analysis, I independently review curve construction, spread calibration, and cross-asset interactions, and synthesize outputs into investment-committee-ready memoranda for senior stakeholders. On coordinating the process, I have run full implementation and study lifecycles across investment teams, product owners, and actuaries — including a three-plan pension merger and the migration of an entire client book. On macro research and market analysis, I built and interpreted stochastic economic scenario generators at Ortec Finance to assess interest-rate, inflation, and funding-volatility exposures under base and stressed regimes, then distilled the results into allocation recommendations that investment committees adopted. I complement this with hands-on VaR/CVaR portfolio optimization, risk decomposition, and Python and SQL analytics pipelines.</w:t>
      </w:r>
    </w:p>
    <w:p>
      <w:r>
        <w:t>What draws me to your firm is its research-driven, high-autonomy process across alternative strategies and direct investments — the kind of environment where independent judgment and analytical defensibility matter more than headcount. My advisory roots at Ortec and EY, combined with four years as a practitioner at Moody's, mean I can source and screen opportunities, pressure-test a manager's process and performance attribution, and own the memo that goes to leadership. I hold the CFA charter and dual MSc degrees in Financial Modelling and Chemical Engineering.</w:t>
      </w:r>
    </w:p>
    <w:p>
      <w:r>
        <w:t>I am available for interviews immediately and can start approximately four weeks after offer acceptance. My resume is attached and references are available on request. Thank you for your consideration.</w:t>
      </w:r>
    </w:p>
    <w:p>
      <w:r>
        <w:t>Sincerely,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