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Vice President Investment Research &amp; Portfolio Management candidate with ~7 years across institutional investment research, multi-asset portfolio analytics, and investment governance. Holds delegated sign-off authority on valuation, sensitivity, and portfolio outputs for multi-asset institutional portfolios ($5-25bn per engagement) at Moody's Analytics, with earlier VaR/CVaR portfolio optimization, LDI, and strategic asset allocation advisory at Ortec Finance. CFA charterholder; dual MSc (Financial Modelling, Engineering). Strong in translating research into investment-committee-ready decisions.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Research &amp;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Portfolio Construction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Strategic &amp; Tactical Asset Allocation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Optimization (VaR / CVaR)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Management &amp; Model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Committee Presentation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Regulatory Readiness &amp; Compliance Support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Due Diligence &amp; Investment Selection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Performance Measurement &amp; Sensitivity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Capital Markets &amp; Fixed Income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&amp; Client Engagement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 — Asset Management &amp; Buy-Side Solutions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Investment Research &amp; Portfolio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portfolio outputs delivered to multi-asset institutional portfolios ranging $5-25bn per engagement (~$50bn+ cumulative), reviewing curve construction, spread calibration, and cross-asset interactions prior to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analytics and performance metrics feeding downstream investment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outputs across rates, FX, and inflation, ensuring consistency of sensitivities and scenario impacts at multi-asset portfolio aggregates.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Oversight &amp; Compliance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 as a member of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defensibility, serving as escalation point for client-critical analytical issues and holding releases pending remediation.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Client &amp; Investment-Committee Engagement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and clients' Heads of Risk, translating quantitative outputs into investment-committee-ready narratives on exposure, scenario impacts, and balance-sheet sensitivities.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of an enterprise multi-asset cash-flow projection engine supporting base, stress, and reverse-stress scenarios, delivering forward-looking portfolio and liquidity visibility across investment horizons.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platform, advising on asset, liability, and portfolio configurations.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owners; validated model outputs post-deployment and migrated all assigned accounts from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financial-reporting and governance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program-management functions on adoption, contributing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institutional clients on Strategic Asset Allocation (SAA) and Tactical Asset Allocation (TAA) trade-offs via stress testing and sensitivity analysis, presenting findings and recommendations to pension-fund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risk budgeting,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across return objectives, duration alignment, and liquidity, and built stochastic economic scenario generators to assess funding volatility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merger, developing and validating the model capturing all funding-policy dynamics across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