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16, 2026</w:t>
      </w:r>
    </w:p>
    <w:p>
      <w:r>
        <w:t>Re: VP Investment Research &amp; Portfolio Management — Equiton</w:t>
      </w:r>
    </w:p>
    <w:p>
      <w:r>
        <w:t>Dear Hiring Team,</w:t>
      </w:r>
    </w:p>
    <w:p>
      <w:r>
        <w:t>I advise institutional clients on portfolio construction and asset allocation, and I hold delegated sign-off authority on valuation, sensitivity, and portfolio outputs for multi-asset institutional portfolios of $5-25bn per engagement at Moody's Analytics — the research-to-decision discipline at the centre of Equiton Capital's VP Investment Research &amp; Portfolio Management role. I would welcome the chance to be considered.</w:t>
      </w:r>
    </w:p>
    <w:p>
      <w:r>
        <w:t>My work spans the three pillars this role demands. On research and portfolio analytics, I review curve construction, spread calibration, and cross-asset interactions, and I built the enterprise cash-flow projection engine that gives clients forward-looking portfolio and scenario visibility. On governance and oversight, I sit on Moody's model-governance committee, set documentation and benchmarking standards, and escalate outputs that fail economic defensibility — the same controls discipline that supports IFM and PM obligations. Earlier, at Ortec Finance, I advised pension-fund investment committees on Strategic and Tactical Asset Allocation, ran VaR/CVaR portfolio optimization with risk decomposition, and delivered LDI studies across multi-asset mandates — directly translating research into allocation recommendations that committees adopted.</w:t>
      </w:r>
    </w:p>
    <w:p>
      <w:r>
        <w:t>What draws me to Equiton is the opportunity to help shape an evolving proprietary investment platform where research rigour, governance, and scalable product design intersect — precisely the seam my Moody's platform work and Ortec advisory background sit on. I am a CFA charterholder with dual MSc degrees, and I have spent my career turning complex analytics into clear, decision-ready narratives for senior stakeholders and clients.</w:t>
      </w:r>
    </w:p>
    <w:p>
      <w:r>
        <w:t>I should be direct: my seven years are shorter than the fifteen-year CIO/PM benchmark, and I do not currently hold PM registration — I would pursue registration on the timeline the role requires and would rely on my governance, research, and allocation depth from day one. I am Toronto-based, available to interview immediately, and can start approximately four weeks after an offer.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