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SUMMARY</w:t>
      </w:r>
    </w:p>
    <w:p>
      <w:pPr>
        <w:spacing w:before="0" w:after="40" w:line="259" w:lineRule="auto"/>
        <w:jc w:val="both"/>
      </w:pPr>
      <w:r>
        <w:rPr>
          <w:rFonts w:ascii="Avenir Next LT Pro Light" w:hAnsi="Avenir Next LT Pro Light" w:cs="Avenir Next LT Pro Light"/>
          <w:b w:val="0"/>
          <w:i w:val="0"/>
          <w:color w:val="1A1A1A"/>
          <w:sz w:val="20"/>
        </w:rPr>
        <w:t>Business-analysis and financial-analytics professional with ~7 years translating complex, ambiguous requirements into data and analytics solutions across financial institutions — the profile an Associate Director, Senior Business Analyst (Capital Markets) role demands. At Moody's Analytics, bridges business and technology teams from requirements and functional specifications through data validation, and holds delegated sign-off on valuation and risk outputs for multi-asset portfolios ($5–25bn per engagement). Fluent in SQL, Python, and advanced Excel; a proven communicator to senior stakeholders. CFA charterholder, dual MSc.</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CORE SKILLS</w:t>
      </w:r>
    </w:p>
    <w:p>
      <w:pPr>
        <w:spacing w:before="0" w:after="20" w:line="276" w:lineRule="auto"/>
      </w:pPr>
      <w:r>
        <w:rPr>
          <w:rFonts w:ascii="Avenir Next LT Pro" w:hAnsi="Avenir Next LT Pro" w:cs="Avenir Next LT Pro"/>
          <w:b/>
          <w:i w:val="0"/>
          <w:color w:val="1A1A1A"/>
          <w:sz w:val="20"/>
        </w:rPr>
        <w:t xml:space="preserve">Programming &amp; Data:  </w:t>
      </w:r>
      <w:r>
        <w:rPr>
          <w:rFonts w:ascii="Avenir Next LT Pro" w:hAnsi="Avenir Next LT Pro" w:cs="Avenir Next LT Pro"/>
          <w:b w:val="0"/>
          <w:i w:val="0"/>
          <w:color w:val="1A1A1A"/>
          <w:sz w:val="20"/>
        </w:rPr>
        <w:t>Python (pandas/NumPy/SciPy)</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SQL (PostgreSQL)</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advanced Excel &amp; VBA</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data analysis &amp; auditable pipelines</w:t>
      </w:r>
    </w:p>
    <w:p>
      <w:pPr>
        <w:spacing w:before="0" w:after="20" w:line="276" w:lineRule="auto"/>
      </w:pPr>
      <w:r>
        <w:rPr>
          <w:rFonts w:ascii="Avenir Next LT Pro" w:hAnsi="Avenir Next LT Pro" w:cs="Avenir Next LT Pro"/>
          <w:b/>
          <w:i w:val="0"/>
          <w:color w:val="1A1A1A"/>
          <w:sz w:val="20"/>
        </w:rPr>
        <w:t xml:space="preserve">Derivatives &amp; Valuation:  </w:t>
      </w:r>
      <w:r>
        <w:rPr>
          <w:rFonts w:ascii="Avenir Next LT Pro" w:hAnsi="Avenir Next LT Pro" w:cs="Avenir Next LT Pro"/>
          <w:b w:val="0"/>
          <w:i w:val="0"/>
          <w:color w:val="1A1A1A"/>
          <w:sz w:val="20"/>
        </w:rPr>
        <w:t>rates/FX/inflation derivatives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fixed income</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yield-curve construction &amp; calibration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pricing &amp; sensitivities</w:t>
      </w:r>
    </w:p>
    <w:p>
      <w:pPr>
        <w:spacing w:before="0" w:after="20" w:line="276" w:lineRule="auto"/>
      </w:pPr>
      <w:r>
        <w:rPr>
          <w:rFonts w:ascii="Avenir Next LT Pro" w:hAnsi="Avenir Next LT Pro" w:cs="Avenir Next LT Pro"/>
          <w:b/>
          <w:i w:val="0"/>
          <w:color w:val="1A1A1A"/>
          <w:sz w:val="20"/>
        </w:rPr>
        <w:t xml:space="preserve">Risk &amp; Quant Analytics:  </w:t>
      </w:r>
      <w:r>
        <w:rPr>
          <w:rFonts w:ascii="Avenir Next LT Pro" w:hAnsi="Avenir Next LT Pro" w:cs="Avenir Next LT Pro"/>
          <w:b w:val="0"/>
          <w:i w:val="0"/>
          <w:color w:val="1A1A1A"/>
          <w:sz w:val="20"/>
        </w:rPr>
        <w:t>VaR/CVaR (Expected Shortfall)</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Monte Carlo &amp; stochastic scenario generation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scenario &amp; stress testing</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risk decomposition &amp; attribution</w:t>
      </w:r>
    </w:p>
    <w:p>
      <w:pPr>
        <w:spacing w:before="0" w:after="40" w:line="276" w:lineRule="auto"/>
      </w:pPr>
      <w:r>
        <w:rPr>
          <w:rFonts w:ascii="Avenir Next LT Pro" w:hAnsi="Avenir Next LT Pro" w:cs="Avenir Next LT Pro"/>
          <w:b/>
          <w:i w:val="0"/>
          <w:color w:val="1A1A1A"/>
          <w:sz w:val="20"/>
        </w:rPr>
        <w:t xml:space="preserve">Governance &amp; Business Analysis:  </w:t>
      </w:r>
      <w:r>
        <w:rPr>
          <w:rFonts w:ascii="Avenir Next LT Pro" w:hAnsi="Avenir Next LT Pro" w:cs="Avenir Next LT Pro"/>
          <w:b w:val="0"/>
          <w:i w:val="0"/>
          <w:color w:val="1A1A1A"/>
          <w:sz w:val="20"/>
        </w:rPr>
        <w:t>independent model validation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data quality controls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requirements → functional specifications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risk metrics reporting</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EXPERIENCE</w:t>
      </w:r>
    </w:p>
    <w:p>
      <w:pPr>
        <w:keepNext/>
        <w:spacing w:before="100" w:after="0" w:line="240" w:lineRule="auto"/>
      </w:pPr>
      <w:r>
        <w:rPr>
          <w:rFonts w:ascii="Avenir Next LT Pro" w:hAnsi="Avenir Next LT Pro" w:cs="Avenir Next LT Pro"/>
          <w:b/>
          <w:i/>
          <w:color w:val="1A1A1A"/>
          <w:sz w:val="23"/>
        </w:rPr>
        <w:t>Moody's Analytics – Asset Management &amp; Buy-Side Solutions</w:t>
      </w:r>
    </w:p>
    <w:p>
      <w:pPr>
        <w:keepNext/>
        <w:spacing w:before="0" w:after="0" w:line="240" w:lineRule="auto"/>
      </w:pPr>
      <w:r>
        <w:rPr>
          <w:rFonts w:ascii="Avenir Next LT Pro" w:hAnsi="Avenir Next LT Pro" w:cs="Avenir Next LT Pro"/>
          <w:b/>
          <w:i/>
          <w:color w:val="1A1A1A"/>
          <w:sz w:val="21"/>
        </w:rPr>
        <w:t>Asst. Director – Modelling Services</w:t>
      </w:r>
    </w:p>
    <w:p>
      <w:pPr>
        <w:keepNext/>
        <w:spacing w:before="0" w:after="40" w:line="240" w:lineRule="auto"/>
      </w:pPr>
      <w:r>
        <w:rPr>
          <w:rFonts w:ascii="Avenir Next LT Pro" w:hAnsi="Avenir Next LT Pro" w:cs="Avenir Next LT Pro"/>
          <w:b w:val="0"/>
          <w:i/>
          <w:color w:val="1A1A1A"/>
          <w:sz w:val="21"/>
        </w:rPr>
        <w:t>Toronto, May 2023 – Present</w:t>
      </w:r>
    </w:p>
    <w:p>
      <w:pPr>
        <w:keepNext/>
        <w:spacing w:before="60" w:after="20" w:line="240" w:lineRule="auto"/>
      </w:pPr>
      <w:r>
        <w:rPr>
          <w:rFonts w:ascii="Avenir Next LT Pro" w:hAnsi="Avenir Next LT Pro" w:cs="Avenir Next LT Pro"/>
          <w:b/>
          <w:i w:val="0"/>
          <w:color w:val="1A1A1A"/>
          <w:sz w:val="21"/>
        </w:rPr>
        <w:t>Business &amp; Data Requirements Analysis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Serve as technical liaison between institutional clients' business teams and product/development functions, translating complex investment and analytics requirements into structured Product Owner requests and functional specifications.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Define and validate data and model requirements for multi-asset valuation, sensitivity, and ALM analytics — reviewing curve construction, spread calibration, and cross-asset inputs for accuracy and business alignment before release.</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Hold delegated sign-off authority on valuation, sensitivity, and ALM outputs across multi-asset institutional portfolios ($5–25bn per engagement; $50bn+ cumulative), ensuring outputs meet business and analytical standards.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Review aggregation logic converting security-level exposures into portfolio-level risk metrics feeding downstream ALM and capital processes.</w:t>
      </w:r>
    </w:p>
    <w:p>
      <w:pPr>
        <w:keepNext/>
        <w:spacing w:before="60" w:after="20" w:line="240" w:lineRule="auto"/>
      </w:pPr>
      <w:r>
        <w:rPr>
          <w:rFonts w:ascii="Avenir Next LT Pro" w:hAnsi="Avenir Next LT Pro" w:cs="Avenir Next LT Pro"/>
          <w:b/>
          <w:i w:val="0"/>
          <w:color w:val="1A1A1A"/>
          <w:sz w:val="21"/>
        </w:rPr>
        <w:t>Analytics Delivery &amp; Data Pipelines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design and end-to-end delivery of an enterprise multi-asset cash-flow projection and scenario engine (base, stress, reverse-stress) — from requirements scoping and success criteria through production monitoring.</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Architected configurable time-bucketed liquidity-gap analytics (T+1 through multi-year) supporting funding, refinancing, and asset-allocation decisions.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Re-engineered manual spreadsheet workflows into scalable, auditable Python data pipelines with embedded data-validation and logging controls.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Built agentic AI development workflows (Claude Code, Cursor IDE) automating data validation, anomaly detection, and documentation — cutting delivery cycle time an estimated 30–40%.</w:t>
      </w:r>
    </w:p>
    <w:p>
      <w:pPr>
        <w:keepNext/>
        <w:spacing w:before="60" w:after="20" w:line="240" w:lineRule="auto"/>
      </w:pPr>
      <w:r>
        <w:rPr>
          <w:rFonts w:ascii="Avenir Next LT Pro" w:hAnsi="Avenir Next LT Pro" w:cs="Avenir Next LT Pro"/>
          <w:b/>
          <w:i w:val="0"/>
          <w:color w:val="1A1A1A"/>
          <w:sz w:val="21"/>
        </w:rPr>
        <w:t>Data Quality, Governance &amp; Stakeholder Communication</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Operate within a formal model-governance framework — establishing data quality and validation standards and escalating outputs lacking economic or mathematical defensibility.</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Present analytical findings and scenario impacts to senior business stakeholders and clients' Heads of Risk, translating complex quantitative outputs into decision-ready narratives and securing alignment.</w:t>
      </w:r>
    </w:p>
    <w:p>
      <w:pPr>
        <w:keepNext/>
        <w:spacing w:before="0" w:after="0" w:line="240" w:lineRule="auto"/>
      </w:pPr>
      <w:r>
        <w:rPr>
          <w:rFonts w:ascii="Avenir Next LT Pro" w:hAnsi="Avenir Next LT Pro" w:cs="Avenir Next LT Pro"/>
          <w:b/>
          <w:i/>
          <w:color w:val="1A1A1A"/>
          <w:sz w:val="21"/>
        </w:rPr>
        <w:t>Client Service Specialist – Platform Onboarding &amp; Analytics</w:t>
      </w:r>
    </w:p>
    <w:p>
      <w:pPr>
        <w:keepNext/>
        <w:spacing w:before="0" w:after="40" w:line="240" w:lineRule="auto"/>
      </w:pPr>
      <w:r>
        <w:rPr>
          <w:rFonts w:ascii="Avenir Next LT Pro" w:hAnsi="Avenir Next LT Pro" w:cs="Avenir Next LT Pro"/>
          <w:b w:val="0"/>
          <w:i/>
          <w:color w:val="1A1A1A"/>
          <w:sz w:val="21"/>
        </w:rPr>
        <w:t>Toronto, May 2022 – May 2023</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onboarding and implementation for U.S. and Canadian pension funds, asset managers, and consulting firms migrating to the PFaroe analytics platform — gathering requirements and validating data and model outputs post-deployment.</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Contributed to the migration of all assigned client accounts from the legacy Calypso platform to PFaroe, coordinating across client, product, and engineering teams.</w:t>
      </w:r>
    </w:p>
    <w:p>
      <w:pPr>
        <w:keepNext/>
        <w:spacing w:before="100" w:after="0" w:line="240" w:lineRule="auto"/>
      </w:pPr>
      <w:r>
        <w:rPr>
          <w:rFonts w:ascii="Avenir Next LT Pro" w:hAnsi="Avenir Next LT Pro" w:cs="Avenir Next LT Pro"/>
          <w:b/>
          <w:i/>
          <w:color w:val="1A1A1A"/>
          <w:sz w:val="23"/>
        </w:rPr>
        <w:t>Ernst &amp; Young (EY)</w:t>
      </w:r>
    </w:p>
    <w:p>
      <w:pPr>
        <w:keepNext/>
        <w:spacing w:before="0" w:after="0" w:line="240" w:lineRule="auto"/>
      </w:pPr>
      <w:r>
        <w:rPr>
          <w:rFonts w:ascii="Avenir Next LT Pro" w:hAnsi="Avenir Next LT Pro" w:cs="Avenir Next LT Pro"/>
          <w:b/>
          <w:i/>
          <w:color w:val="1A1A1A"/>
          <w:sz w:val="21"/>
        </w:rPr>
        <w:t>Senior Consultant – IFRS &amp; Financial Risk Transformation</w:t>
      </w:r>
    </w:p>
    <w:p>
      <w:pPr>
        <w:keepNext/>
        <w:spacing w:before="0" w:after="40" w:line="240" w:lineRule="auto"/>
      </w:pPr>
      <w:r>
        <w:rPr>
          <w:rFonts w:ascii="Avenir Next LT Pro" w:hAnsi="Avenir Next LT Pro" w:cs="Avenir Next LT Pro"/>
          <w:b w:val="0"/>
          <w:i/>
          <w:color w:val="1A1A1A"/>
          <w:sz w:val="21"/>
        </w:rPr>
        <w:t>Toronto, Sep 2021 – Apr 2022</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Delivered IFRS 17 and IFRS 9 transformation projects for insurance clients — gathering requirements and aligning finance, actuarial, IT, and risk functions on data sourcing and system implementation.</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Built shared requirements documentation and drove milestone delivery across cross-functional program teams.</w:t>
      </w:r>
    </w:p>
    <w:p>
      <w:pPr>
        <w:keepNext/>
        <w:spacing w:before="100" w:after="0" w:line="240" w:lineRule="auto"/>
      </w:pPr>
      <w:r>
        <w:rPr>
          <w:rFonts w:ascii="Avenir Next LT Pro" w:hAnsi="Avenir Next LT Pro" w:cs="Avenir Next LT Pro"/>
          <w:b/>
          <w:i/>
          <w:color w:val="1A1A1A"/>
          <w:sz w:val="23"/>
        </w:rPr>
        <w:t>Ortec Finance Canada</w:t>
      </w:r>
    </w:p>
    <w:p>
      <w:pPr>
        <w:keepNext/>
        <w:spacing w:before="0" w:after="0" w:line="240" w:lineRule="auto"/>
      </w:pPr>
      <w:r>
        <w:rPr>
          <w:rFonts w:ascii="Avenir Next LT Pro" w:hAnsi="Avenir Next LT Pro" w:cs="Avenir Next LT Pro"/>
          <w:b/>
          <w:i/>
          <w:color w:val="1A1A1A"/>
          <w:sz w:val="21"/>
        </w:rPr>
        <w:t>Consultant – Asset-Liability Management &amp; Risk</w:t>
      </w:r>
    </w:p>
    <w:p>
      <w:pPr>
        <w:keepNext/>
        <w:spacing w:before="0" w:after="40" w:line="240" w:lineRule="auto"/>
      </w:pPr>
      <w:r>
        <w:rPr>
          <w:rFonts w:ascii="Avenir Next LT Pro" w:hAnsi="Avenir Next LT Pro" w:cs="Avenir Next LT Pro"/>
          <w:b w:val="0"/>
          <w:i/>
          <w:color w:val="1A1A1A"/>
          <w:sz w:val="21"/>
        </w:rPr>
        <w:t>Toronto, Feb 2019 – Sep 2021</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Delivered ALM and portfolio studies for pension funds and institutional investors — analyzing large financial and economic datasets to inform strategic allocation decisions.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Performed VaR/CVaR portfolio optimization and risk decomposition on the GLASS platform and built stochastic scenario generators, translating results into recommendations for investment committees.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Presented findings to investment committees and senior stakeholders on-site to support allocation decisions.</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EDUCATION &amp; CREDENTIALS</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Chartered Financial Analyst (CFA) – CFA Institute, 2024</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Financial Modelling – Western University, 2018</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Chemical Engineering (Full Scholarship) – Western University, 2016</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