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Capital &amp; Liquidity Management candidate with ~7 years across institutional balance-sheet risk, ALM, and liquidity analytics. Holds delegated sign-off authority on ALM, valuation, and sensitivity outputs for multi-asset portfolios ($5-25bn per engagement) at Moody's Analytics, where a multi-scenario cash-flow projection and liquidity-gap engine was designed end-to-end. Deep in stress testing, funding analysis, and AI-accelerated modelling. CFA charterholder;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Capital &amp; Liquidity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&amp; Funding Strategy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Design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Gap &amp; Cash-Flow Forecasting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Risk Assessment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Appetite &amp; Limits Frameworks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Analytics &amp; AI-Assisted Workflows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Board-Level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Capital, Liquidity &amp; Balance-Sheet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into forecasting to support liquidity planning and contingency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and duration analysis under parallel and non-parallel rate shocks, assessing asset risk and balance-sheet sensitivity across multi-asset positions.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Oversight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($5-25bn per engagement; ~$50bn+ cumulative), independently reviewing calibration and cross-asset interactions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rate exposure, scenario impacts, and balance-sheet sensitivities, translating quantitative outputs into decision-ready narratives for non-technical audiences.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issues, interfacing directly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Technology &amp; AI Enablement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Deployed agentic AI development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platform, translating investment-team requirements into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asset, liability, and ALM configurations across a multi-account migration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 teams on governance documentation and regulatory-readiness processes for financial institutions.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 for institutional clients, and presented findings to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robustness testing.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