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July 16, 2026</w:t>
      </w:r>
    </w:p>
    <w:p>
      <w:r>
        <w:t>Re: Senior Manager, Capital &amp; Liquidity Management — Wealthsimple</w:t>
      </w:r>
    </w:p>
    <w:p>
      <w:r>
        <w:t>Dear Hiring Team,</w:t>
      </w:r>
    </w:p>
    <w:p>
      <w:r>
        <w:t>I designed and built a multi-scenario cash-flow projection and liquidity-gap engine end-to-end at Moody's Analytics — the exact balance-sheet, funding, and liquidity capability the Senior Manager, Capital &amp; Liquidity Management role is built to own as Wealthsimple scales. I would welcome the chance to bring that work to your Treasury team.</w:t>
      </w:r>
    </w:p>
    <w:p>
      <w:r>
        <w:t>Over the past four years at Moody's I have led liquidity and cash-flow forecasting across base, stress, and reverse-stress scenarios; architected time-bucketed liquidity gap analytics from T+1 through multi-year horizons to support funding and allocation decisions; and held delegated sign-off authority on ALM, valuation, and sensitivity outputs for multi-asset institutional portfolios of $5-25bn per engagement. I sit on the model governance committee, own asset-risk and duration analysis under parallel and non-parallel shocks, and translate complex balance-sheet dynamics into decision-ready recommendations for Heads of Risk and senior stakeholders. Before Moody's, I delivered stochastic ALM, LDI, and funding-ratio studies for Canadian institutional clients at Ortec Finance, and financial-risk transformation at EY.</w:t>
      </w:r>
    </w:p>
    <w:p>
      <w:r>
        <w:t>What draws me to Wealthsimple specifically is a Treasury function managing capital and liquidity across a fast-growing, multi-entity structure — the kind of build-the-frameworks-as-you-scale mandate where practitioner depth matters most. I am also genuinely energized by the AI dimension of this role: I have re-engineered manual workflows into auditable Python pipelines and deployed agentic AI tooling (Claude Code, Cursor) that cut development cycle time an estimated 30-40%, and I would relish leading that evolution on the team rather than watching it from a distance.</w:t>
      </w:r>
    </w:p>
    <w:p>
      <w:r>
        <w:t>I am Toronto-based, available for interviews immediately, and can start approximately four weeks after an offer. My resume is attached, and references are available on request.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