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Total Portfolio Risk and investment-risk professional with ~7 years across institutional ALM, total-portfolio analytics, and pension asset-liability modelling. Hands-on VaR/CVaR asset-only and surplus portfolio optimization, risk decomposition, LDI, and stochastic scenario analysis on Ortec's GLASS platform for Canadian pension funds, paired with delegated sign-off authority on valuation, sensitivity, and ALM outputs for multi-asset institutional portfolios ($5-25bn per engagement) at Moody's Analytics. CFA charterholder;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Total-Portfolio &amp; Investment Risk - VaR / CVaR / Expected Shortfall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Asset-Only &amp; Surplus Portfolio Optimization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Decomposition, Contribution-to-Risk &amp; Risk Budgeting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ALM, LDI &amp; Pension Asset-Liability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Funding-Ratio, Surplus &amp; Duration-Gap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Generation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Stress, Reverse-Stress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Independent Sign-off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Ortec GLASS, Python, SQL &amp; MATLAB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 - Asset Management &amp; Buy-Side Solutions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Assistant Director -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Sign-off, Valuation &amp; Risk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for multi-asset institutional portfolios ($5-25bn per engagement; 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Independently review and validate derivatives pricing and sensitivity outputs across rates, FX, and inflation, ensuring sensitivities and scenario impacts reconcile at portfolio-level risk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Scenario, Stress &amp; Liquidity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design and ongoing development of an enterprise multi-asset cash-flow projection and scenario engine (base, stress, reverse-stress), delivering forward-looking liquidity and surplus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liquidity-gap analytics (T+1 through multi-year) supporting funding-ratio, refinancing,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interest-rate exposure, scenario impacts, and balance-sheet sensitivities into investment-committee-ready narratives for senior stakeholders and clients' Heads of Risk.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- ALM &amp; Risk Analytics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consultants migrating to the PFaroe ALM and portfolio-analytics platform,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coordinating actuarial, finance, risk, and IT functions on adoption, governance documentation, and regulatory-readiness milestones.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Pension ALM, LDI &amp; Total-Portfolio Risk Advisory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based on VaR and CVaR on Ortec's GLASS platform, with risk decomposition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into a new jointly-sponsored plan, developing and validating the model capturing all Funding Policy dynamics and evaluating duration, currency, inflation, and leverage-overlay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pension-fund actuarial liabilities alongside all major investment-product types and economic variables, and built stochastic economic scenario generators (Monte Carlo) to assess interest-rate and funding-ratio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ratio, surplus,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analysis, weighing trade-offs between return objectives, duration alignment, and liquidity for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across interest-rate, inflation, and currency risk, and advised on Strategic and Tactical Asset Allocation (SAA/TAA) trade-offs via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study findings and allocation recommendations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