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Manager, Quantitative Analytics &amp; Reporting candidate with ~7 years in investment and market risk analytics across Moody's Analytics, EY, and Ortec Finance. Holds delegated sign-off authority on valuation, sensitivity, and risk outputs for multi-asset institutional portfolios of $5-25bn per engagement. Hands-on with VaR and CVaR optimization, risk decomposition and attribution, stress testing and scenario analysis, derivatives validation, and Python analytics pipelines. CFA charterholder; dual MSc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Analytics (multi-asset)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Value at Risk (VaR) &amp; Conditional VaR (CVaR)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Exposure &amp;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Review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Reporting &amp; Analytics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Review &amp; Documentation Standards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Analytics Validation &amp;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delivered to multi-asset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confirming that sensitivities and scenario impacts remain consistent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risk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Exposure, Stress &amp; Scenario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exposure and duration analysis under parallel and non-parallel rate shocks across multi-asset institutional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multi-year horizons.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Reporting, Automation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covering portfolio exposures, scenario impacts, and interest-rate sensitivities, translating quantitative output into 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documentation and benchmarking standards, and model-performance assessment for client-delivered analytics.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DB (risk &amp; ALM analytics) and PFaroe PM (portfolio management) platforms, acting as technical liaison between client investment teams and product/development functions.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a legacy Calypso environment to PFaroe PM,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reporting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and risk stakeholders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testing allocation robustness through near-optimal frontier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Produced risk decomposition and risk attribution analytics (contribution-to-risk, risk budgeting) for multi-asset institutional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quantifying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 flow, liquidity, and hedging analysis across interest-rate, inflation, and currency risk, including liability-driven investment (LDI) trade-off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