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13, 2026</w:t>
      </w:r>
    </w:p>
    <w:p>
      <w:r>
        <w:t>Re: Manager, Quantitative Analytics &amp; Reporting — AIMCo</w:t>
      </w:r>
    </w:p>
    <w:p>
      <w:r>
        <w:t>Dear Hiring Team,</w:t>
      </w:r>
    </w:p>
    <w:p>
      <w:r>
        <w:t>I hold delegated sign-off authority on valuation, sensitivity, and risk outputs for multi-asset institutional portfolios at Moody's Analytics — $5-25bn per engagement, roughly $50bn cumulatively — which is the same validate-interpret-explain discipline AIMCo's Quantitative Analytics &amp; Reporting team is built around. I would like to be considered for the Manager, Quantitative Analytics &amp; Reporting role.</w:t>
      </w:r>
    </w:p>
    <w:p>
      <w:r>
        <w:t>My day-to-day mandate maps directly onto the accuracy question at the centre of your posting: independently reviewing curve construction, spread calibration, and cross-asset interactions before production release; validating derivatives pricing outputs across rates, FX, and inflation; and confirming that sensitivities and scenario impacts hold at portfolio-level aggregates. When results are mathematically defensible but economically unsupported, I hold the release and escalate — on one client delivery I delayed 48 hours to trace a short-end curve-calibration edge case, and became that client's Head of Risk's direct escalation contact as a result. Earlier, at Ortec Finance, I ran asset-only and surplus portfolio optimization on VaR and CVaR, risk decomposition and contribution-to-risk analysis, and stochastic scenario generation for Canadian pension funds, presenting results directly to investment committees.</w:t>
      </w:r>
    </w:p>
    <w:p>
      <w:r>
        <w:t>What draws me to AIMCo is the breadth of the mandate: enterprise-wide risk measurement across every asset class and client portfolio, at an organization managing more than $200 billion for Alberta's pension and endowment clients. My background spans both the vendor-delivery side of institutional risk analytics — four years at Moody's Analytics onboarding pension funds and asset managers onto the PFaroe DB and PFaroe PM platforms and translating investment-team requirements into product and development work — and direct pension-fund advisory work at Ortec Finance. I have also re-engineered spreadsheet-based workflows into Python pipelines with embedded logging and validation, and use agentic AI tooling (Claude Code, Cursor) to accelerate build and review cycles. I hold the CFA charter and dual MSc degrees (Financial Modelling, Chemical Engineering) from Western University, am based in Toronto, available for interviews immediately, and can start approximately four weeks after an offer.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