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Senior Manager, Treasury Analytics candidate with ~7 years in Asset-Liability Management (ALM), cash-flow modelling, and quantitative interest-rate risk modelling across institutional treasury and balance-sheet mandates. Holds delegated sign-off authority at Moody's Analytics on valuation, sensitivity, and ALM outputs for multi-asset portfolios of $5-25bn per engagement, and led design of a multi-scenario cash-flow projection engine embedding behavioural and prepayment assumptions. Reviews interest-rate derivatives valuation, yield-curve construction, and spread calibration, with hands-on stochastic/Monte Carlo and VaR/CVaR modelling from ALM advisory work. Python and SQL practitioner; CFA and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Asset-Liability Management (ALM) &amp; Balance Sheet Modelling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Cash-Flow Modelling &amp; Liquidity Gap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Risk Modelling, Duration &amp; Key-Rate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Behavioural Cash-Flow &amp; Prepayment Assumptions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Interest Rate Derivatives Valuation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 &amp; Spread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Modelling &amp;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Hedging Analysis (Interest Rate, Inflation, Currency)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Review, Validation, Governance &amp; Documentation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Decomposition, Attribution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Python, SQL, R, MATLAB, Advanced Excel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Reporting on Risk Drivers &amp; Sensitivities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Cash-Flow Modelling &amp; Behavioural Risk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scenarios, delivering forward-looking liquidity visibility across ALM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Embedded behavioural cash-flow assumptions, prepayment logic, and macro stress overlays into projection models, aligning outputs with regulatory liquidity expectations and executive contingency planning.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 gap analytics (T+1 through multi-year) enabling funding optimization, refinancing-risk assessment, and asset-allocation decisions.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Interest Rate &amp; Derivatives Valuation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institutional portfolios of $5-25bn per engagement (~$50bn+ cumulative), independently reviewing yield curve construction, spread calibration, and cross-asset interactions before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Validated derivatives pricing outputs across rates, FX, and inflation, confirming sensitivity consistency at portfolio-level ALM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Oversaw Interest Rate Risk and duration analysis under parallel and non-parallel rate-shock scenarios, consistent with industry IRRBB methodology.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explaining interest-rate exposure, scenario impacts, and balance-sheet sensitivities, translating quantitative output into decision-ready narratives on risk drivers.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Review &amp; Production Support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benchmarking, documentation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Reviewed aggregation logic converting security-level exposures into portfolio-level risk metrics feeding downstream ALM processes; escalated outputs lacking mathematical or economic defensibility.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controls, delivered on PFaroe DB (risk &amp; ALM) and PFaroe PM (portfolio management).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on the PFaroe platform; advised on asset, liability, and ALM configuration and validated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scoped development requests for Product Owners and migrated all assigned accounts from a legacy Calypso environment.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Advised actuarial, finance, IT, and program-management functions on standard adoption; contributed to governance documentation and regulatory-readiness processes.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 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interest-rate, inflation, and currency risk for international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analyzing funding ratios, duration mismatch, and long-term balance-sheet risk exposures; modelled actuarial liabilities alongside all major investment-product types and economic variables.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platform, with risk decomposition and attribution to test allocation robustness, and presented findings to pension investment committees.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