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13, 2026</w:t>
      </w:r>
    </w:p>
    <w:p>
      <w:r>
        <w:t>Re: Senior Manager, Treasury Analytics — CIBC</w:t>
      </w:r>
    </w:p>
    <w:p>
      <w:r>
        <w:t>Dear Hiring Team,</w:t>
      </w:r>
    </w:p>
    <w:p>
      <w:r>
        <w:t>I designed and led implementation of the enterprise multi-asset cash-flow projection engine at Moody's Analytics - base, stress, and reverse-stress scenarios, with behavioural cash-flow assumptions, prepayment logic, and macro overlays embedded, feeding time-bucketed liquidity gap analytics from T+1 through multi-year horizons. That is a close cousin of the machinery behind a cash-flow modelling book, and it is why I am applying for the Senior Manager, Treasury Analytics role.</w:t>
      </w:r>
    </w:p>
    <w:p>
      <w:r>
        <w:t>At Moody's I hold delegated sign-off authority on valuation, sensitivity, and ALM outputs for multi-asset institutional portfolios of $5-25bn per engagement - independently reviewing curve construction, spread calibration, and cross-asset interactions before production release, and validating derivatives pricing outputs across rates, FX, and inflation for sensitivity consistency at portfolio-level aggregates. I also sit on the model governance committee, where methodology review, benchmarking, and documentation standards are set, and I have re-engineered spreadsheet workflows into auditable Python pipelines. Earlier, at Ortec Finance, I built stochastic economic scenario generators, ran cash-flow, liquidity, and interest-rate, inflation and currency hedging analysis, and performed VaR/CVaR optimization with risk decomposition; presenting those results to pension investment committees taught me to explain which drivers moved a number, not just the number itself.</w:t>
      </w:r>
    </w:p>
    <w:p>
      <w:r>
        <w:t>Treasury Analytics appeals to me because it sits at the junction I have worked from both sides: quantitative modelling of behavioural and interest-rate risk, and the review, governance, and systems discipline that gets models into production consistently. My behavioural work has come through prepayment and behavioural cash-flow assumptions on institutional balance sheets rather than mortgage and GIC books directly, so I would expect to spend early months inside CIBC's retail data and parameter-review cycle. The financial mathematics, quantitative and stochastic modelling, and Python/SQL/R toolkit transfer immediately; I hold the CFA charter and dual MSc degrees in Financial Modelling and Chemical Engineering.</w:t>
      </w:r>
    </w:p>
    <w:p>
      <w:r>
        <w:t>I am Toronto-based, available for interviews immediately, and can start approximately four weeks after offer acceptance. References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