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Investment analytics and reporting specialist with ~7 years of experience aligned to the Vice President, Performance Reporting &amp; Analytics mandate: multi-asset portfolio analytics, exposure monitoring, and liquidity forecasting for institutional investors. Holds delegated sign-off authority at Moody's Analytics on valuation and sensitivity outputs for client portfolios of $5-25bn per engagement. Performed VaR/CVaR portfolio optimization, risk attribution, and stochastic stress-testing analytics at Ortec Finance, presenting results to pension investment committees.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 &amp; Exposure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Value-at-Risk (VaR) &amp; Conditional VaR (CVaR)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Attribution &amp; Decomposition (Contribution-to-Risk)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Forecasting &amp; Cash Flow Projection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(Asset-Only &amp; Asset-Liability)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Governance, Validation &amp; Model Reconciliation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Institutional Client Onboarding &amp; Platform Implementation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Committee &amp; Executive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Delivery with Product &amp; Technology Teams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Analytics, Valuation &amp; Exposure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exposure analytics delivered to multi-asset institutional client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analytics feeding downstream client reporting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valuation outputs across rates, FX, and inflation, cross-checking sensitivity consistency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scenario impacts, exposure, and portfolio sensitivities, translating quantitative output into investment-committee-ready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Liquidity Forecasting &amp; Cash Flow Modelling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visibility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liquidity profiling, funding optimization,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into projection scenarios.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Pipeline, Validation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 trails, supporting data governance over client-delivered reporting.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served as escalation point for client-critical analytical issues, interfacing directly with clients' Heads of Risk and investment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PFaroe DB (risk &amp; ALM analytics) and PFaroe PM (portfolio management).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requirements into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Completed migration of all assigned client accounts from the legacy Calypso platform to PFaroe PM, advising clients on asset, liability, and reporting configurations.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reporting requirements with system implementation and governance documentation.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collateral, coordinating actuarial, finance, IT, risk, and program-management teams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attribution,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portfolio studies for Canadian and international pension funds and institutional investors, analyzing funding ratios, duration mismatch, and long-horizon balance-sheet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supporting scenario analysis and stress testing of funding volatility and interest-rate exposure.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strategic asset allocation recommendations to investment committees at Canadian pension-fund clients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merger, on a team of three developing and validating the model capturing all funding-policy dynamics across duration, currency, inflation, and leverage overlays.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