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r>
        <w:t>August 13, 2026</w:t>
      </w:r>
    </w:p>
    <w:p>
      <w:r>
        <w:t>Re: VP Performance Reporting &amp; Analytics — Citco</w:t>
      </w:r>
    </w:p>
    <w:p>
      <w:r>
        <w:t>Dear Hiring Team,</w:t>
      </w:r>
    </w:p>
    <w:p>
      <w:r>
        <w:t>I hold delegated sign-off authority at Moody's Analytics on the valuation, sensitivity, and exposure analytics delivered to multi-asset institutional client portfolios of $5-25bn per engagement — pension funds, asset managers, and investment consultants that closely mirror the client base Citco's Data Analytics team serves within Institutional Services. I would like to be considered for the Vice President, Performance Reporting &amp; Analytics role.</w:t>
      </w:r>
    </w:p>
    <w:p>
      <w:r>
        <w:t>Across roughly seven years I have built the analytics infrastructure sitting behind institutional investment oversight. At Moody's, I led the design of a multi-asset cash flow projection engine with configurable time-bucketed liquidity gap analytics from T+1 through multi-year horizons, and I review aggregation logic that converts security-level exposures into portfolio-level analytics feeding client reporting. At Ortec Finance, I performed asset-only and asset-liability portfolio optimization on VaR and CVaR, built stochastic scenario generators for stress testing, and presented allocation recommendations directly to pension-fund investment committees — the same audience your team supports with board and IC-ready materials.</w:t>
      </w:r>
    </w:p>
    <w:p>
      <w:r>
        <w:t>On the data and delivery side, I re-engineered manual spreadsheet workflows into audited Python pipelines with embedded logging, validation, and reconciliation controls to support governance over client-delivered analytics. Earlier, I onboarded U.S. and Canadian pensions, asset managers, and consultants onto Moody's PFaroe platforms, migrated every assigned account off legacy Calypso, and translated investment-team requirements into product and development work — a client-facing, requirements-translation motion closely aligned with the onboarding and platform-implementation scope of this role. What draws me to Citco is the chance to extend that exposure, risk, and cash-flow depth into the money-weighted and private-markets performance metrics your institutional client base requires; it is a gap I am eager to close, having recently done exactly that in completing the CFA charter alongside full client delivery. I am Toronto-based, available to interview immediately, and can start approximately four weeks after offer acceptance. Thank you for your consideration.</w:t>
      </w:r>
    </w:p>
    <w:p>
      <w:r>
        <w:t>Sincerely,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