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Model Risk Management Analyst, AVP candidate with ~7 years across independent model validation, model governance, and quantitative risk analytics. Exercises delegated sign-off authority at Moody's Analytics on valuation, sensitivity, and ALM outputs for institutional portfolios of $5-25bn per engagement, and sits on the model governance committee covering methodology review, benchmarking, and model-performance assessment. Statistical, stochastic, and Python-based modelling depth; IFRS 9 transformation delivery at EY. CFA charterholder,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Model Validation &amp;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Management &amp; Governance (SR 11-7-aligned)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Validation Documentation &amp; Escalation Management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Performance Monitoring &amp; Benchmarking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Statistical Analysis, Stochastic &amp; Monte Carlo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R &amp; 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IFRS 9 &amp; IFRS 17 Transformation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Technical Communication to Non-Technical Stakeholders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Model Validation &amp;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Exercise delegated sign-off authority on valuation, sensitivity, and ALM outputs delivered to multi-asset institutional portfolios of $5-25bn per engagement (~$50bn+ cumulative),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 - reviewing assumptions, validating economic defensibility, and documenting review outcomes to standards consistent with SR 11-7 and OSFI E-23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confirming consistency of sensitivities and scenario impacts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feeding downstream ALM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 &amp; Escalation Management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on the model governance committee,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defensibility; serve as escalation point for client-critical analytical issues, working with product owners and clients' Heads of Risk to drive resolution.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pipelines with embedded logging and validation controls, supporting model-governance requirements on reproducibility and versioning.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Quantitative Modelling, Stress Testing &amp;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 analysis across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aligned with regulatory liquidity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and duration analysis under parallel and non-parallel rate shocks for institutional client balance sheets.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 - reducing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translating quantitative output into rate-exposure, scenario-impact, and balance-sheet narratives for senior non-technical stakeholders.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on PFaroe DB (risk &amp; ALM analytics) and PFaroe PM (portfolio management),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owners, translating requirements into scoped development requests.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program-management functions on standard adoption;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using statistical analysis and Monte Carlo simulation to assess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near-optimal frontier analysis to test robustness of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funds, analyzing funding ratios, duration mismatch, and long-term balance-sheet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methodology assumptions to investment committees at Canadian pension-fund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