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r>
        <w:t>August 13, 2026</w:t>
      </w:r>
    </w:p>
    <w:p>
      <w:r>
        <w:t>Re: Model Risk Management Analyst AVP — MUFG Investor Services</w:t>
      </w:r>
    </w:p>
    <w:p>
      <w:r>
        <w:t>I currently hold delegated sign-off authority on valuation, sensitivity, and ALM outputs delivered to multi-asset institutional portfolios at Moody's Analytics, and sit on the model governance committee that sets methodology-review, documentation, benchmarking, and model-performance standards for that work — the same independent-review discipline MUFG's Quantitative Risk Control group applies under the Model Governance Program. I would like to be considered for the Model Risk Management Analyst, AVP role.</w:t>
      </w:r>
    </w:p>
    <w:p>
      <w:r>
        <w:t>Day to day, that mandate means reviewing curve construction, spread calibration, and cross-asset interactions before production release; validating derivatives pricing outputs across rates, FX, and inflation; testing the aggregation logic that converts security-level exposures into portfolio-level metrics feeding downstream ALM and capital processes; and escalating results that are mathematically defensible but economically unsupported — in one case holding a client release for 48 hours until a curve-calibration edge case was remediated upstream and captured in validation tests. On the quantitative side I work in Python, with R and SQL; designed a multi-scenario cash-flow projection engine covering base, stress, and reverse-stress paths; and earlier built stochastic economic scenario generators and VaR/CVaR optimization studies at Ortec Finance.</w:t>
      </w:r>
    </w:p>
    <w:p>
      <w:r>
        <w:t>What draws me to QRC is the breadth — models supporting trading, lending, pricing, securitization, and capital-markets activity rather than a single book. In fairness: my modelling depth is in valuation, rates, and cash-flow and stress models rather than wholesale credit scoring, and I have not built PD or LGD models. What transfers is the validation craft — challenging assumptions, benchmarking, performance monitoring, documenting to SR 11-7-aligned standards, and resolving escalations with model and product owners — plus IFRS 9 and IFRS 17 transformation delivery at EY. Ramping onto unfamiliar model families under a governance framework has been the job for four years; I am Toronto-based, available immediately, and can start roughly four weeks after offer acceptance. References on request — thank you for your consideration.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