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August 13, 2026</w:t>
      </w:r>
    </w:p>
    <w:p>
      <w:r>
        <w:t>Re: Senior Manager, Client Services &amp; Delivery — RBC Global Asset Management</w:t>
      </w:r>
    </w:p>
    <w:p>
      <w:r>
        <w:t>For four years at Moody's Analytics I have been the delivery and escalation point for sophisticated institutional clients — pension funds, asset managers, and consulting firms — whose analytics I onboard, configure, validate, and sign off before results reach their investment committees. That end-to-end ownership of the client experience is the operational core of the Senior Manager, Client Services &amp; Delivery role, and it is the work I would like to bring to RBC's Global Investment Office.</w:t>
      </w:r>
    </w:p>
    <w:p>
      <w:r>
        <w:t>The mandate maps closely to what I do now. On onboarding, I led client implementations onto Moody's PFaroe platforms and the migration of all assigned accounts off a legacy Calypso environment, coordinating client investment teams, product owners, and developers to close configuration issues. On delivery, I hold delegated sign-off authority on valuation, sensitivity, and ALM outputs for portfolios of $5-25bn per engagement, and act as the named escalation contact for clients' Heads of Risk. On reporting and controls, I prepare investment-committee-ready analytical summaries and sit on a model governance committee, contributing to documentation and methodology-benchmarking standards. On digital solutions, I rebuilt manual spreadsheet workflows into audited Python pipelines and deployed agentic AI workflows (Claude Code, Cursor) that cut development cycle time an estimated 30-40%.</w:t>
      </w:r>
    </w:p>
    <w:p>
      <w:r>
        <w:t>What draws me to the Global Investment Office is the complexity of the Enterprise Strategic Client book. My client base has been institutional rather than private-wealth, but the demands rhyme: at Ortec Finance I led the onboarding and ALM study for a merger of three university pension plans into a single jointly-sponsored plan — multi-entity structures, competing sponsor interests, bespoke mandates, and an investment committee expecting institutional-grade answers on funding, duration, currency, and inflation. I would come into this role owning that gap directly and am prepared to complete CIRO licensing on whatever timeline it requires.</w:t>
      </w:r>
    </w:p>
    <w:p>
      <w:r>
        <w:t>I am Toronto-based, available for interviews immediately, and can start approximately four weeks after offer acceptance. References available on request. Thank you for your consideration.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