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Manager, ALM Risk Modelling candidate: ~7 years across asset-liability management and interest rate risk modelling for institutional portfolios, including delegated sign-off on client ALM outputs at Moody's Analytics, ALM/LDI studies at Ortec Finance, and financial-risk transformation delivery at EY. Led design of a multi-asset cash flow projection engine embedding behavioural and prepayment assumptions; built stochastic scenario generators; holds delegated sign-off on valuation, sensitivity, and ALM outputs for portfolios of $5-25bn per engagement. Re-engineers legacy workflows into Python analytics pipelines with software-engineering discipline. CFA, dual MSc (Financial Modelling, Chemical Engineering).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Structural Interest Rate Risk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Asset-Liability Management (ALM)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Behavioural Cash-Flow &amp; Prepayment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Statistical &amp; Stochastic Model Development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Yield Curve Construction &amp; Spread Calibration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 Pricing Validation (Rates, FX, Inflation)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 &amp; SQL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Software Engineering Practices (Git, CI/CD, Code Review)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Senior Stakeholder &amp; Investment Committee Presentation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 (Investment &amp; ALM Risk Lead)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Balance Sheet Interest Rate Risk Modelling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Oversees interest rate risk and duration analysis for multi-asset institutional client portfolios under parallel and non-parallel rate shocks, aligned with IRRBB standards analogous to OSFI B-12 and Basel Committee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ALM outputs for institutional portfolios of $5-25bn per engagement (~$50bn+ cumulative), independently reviewing curve construction and spread calibration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Validates derivatives pricing outputs across rates, FX, and inflation, confirming sensitivity and scenario consistency at portfolio-level ALM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Behavioural Cash Flow Modelling &amp; Balance Sheet Projection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providing forward-looking liquidity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behavioural cash flow assumptions, prepayment logic, and macro stress overlays into the projection models, aligned with regulatory liquidity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supporting funding optimization, refinancing risk assessment,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Reviews aggregation logic converting security-level exposures into portfolio-level risk metrics feeding downstream ALM and capital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Coding, Software Practices &amp; Stakeholder Engagement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controls, maintained under Git version control.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detection, reducing development cycle time an estimated 30-40%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Prepares and presents analytical summaries on interest rate exposure, scenario impacts, and balance sheet sensitivities for senior stakeholders, translating quantitative outputs into decision-ready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on the model governance committee, contributing to methodology review, benchmarking, and documentation standards; escalates outputs lacking economic defensibility to clients' Heads of Risk.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 and asset managers on PFaroe DB (risk &amp; ALM analytics) and PFaroe PM, advising on asset, liability, and ALM configurations.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investment-team requirements into scoped development requests and validated model outputs post-deployment; migrated all assigned accounts off the legacy Calypso environment.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insurers, coordinating actuarial, finance, IT, and risk functions on data sourcing and model requirements.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generators, calibrated to client assumptions, to quantify interest 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investors, analyzing funding ratios, duration mismatch, and long-term balance 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Modelled actuarial liabilities alongside all major investment product types and economic variables; performed cash flow, liquidity, and hedging analysis across interest rate, inflation, and currency risk.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Developed and validated, on a team of three, the model capturing all Funding Policy dynamics for a three-plan university pension merger, evaluating duration, currency, inflation, and leverage overlay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model findings and allocation proposals to pension-fund investment committees on-site; ran asset-only and surplus optimization on VaR and CVaR with risk decomposition using Ortec's GLASS platform.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