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13, 2026</w:t>
      </w:r>
    </w:p>
    <w:p>
      <w:r>
        <w:t>Re: Senior Manager, ALM Risk Modelling — Scotiabank</w:t>
      </w:r>
    </w:p>
    <w:p>
      <w:r>
        <w:t>I hold delegated sign-off authority on valuation, sensitivity, and ALM outputs for multi-asset institutional portfolios at Moody's Analytics -- reviewing curve construction, spread calibration, and derivatives-pricing consistency before production release on portfolios of $5-25bn per engagement. I would like to be considered for the Senior Manager, ALM Risk Modelling role on your team.</w:t>
      </w:r>
    </w:p>
    <w:p>
      <w:r>
        <w:t>Over four years at Moody's I led the design and implementation of an enterprise multi-asset cash flow projection engine spanning base, stress, and reverse-stress scenarios, embedding behavioural cash-flow assumptions and prepayment logic, and architecting time-bucketed liquidity gap analytics from T+1 to multi-year horizons. I oversee interest rate risk and duration analysis under parallel and non-parallel shocks, validate rates, FX, and inflation derivatives outputs at portfolio-level ALM aggregates, and escalate results that fail an economic-defensibility test to clients' Heads of Risk. Earlier, at Ortec Finance, I built stochastic economic scenario generators calibrated to client assumptions, modelled actuarial liabilities and duration mismatch, and presented conclusions directly to pension-fund investment committees -- the liability side of the same balance-sheet problem your team solves for Scotiabank's rate positioning and funds-transfer pricing. What draws me to this mandate specifically is the cross-disciplinary team you describe, drawing on mathematics, statistics, physics, and computer science -- the same mix of quantitative backgrounds I have worked alongside throughout my ALM career.</w:t>
      </w:r>
    </w:p>
    <w:p>
      <w:r>
        <w:t>The software-engineering mindset the posting calls out is where I would add immediate leverage: I have re-engineered spreadsheet-based valuation workflows into version-controlled Python pipelines with embedded logging and validation, and built agentic AI development workflows (Claude Code, Cursor) that cut cycle time on comparable modules by an estimated 30-40%. I hold the CFA charter and dual MSc degrees in Financial Modelling and Chemical Engineering from Western University. I am Toronto-based, available to interview immediately, and can start approximately four weeks after an offer. My resume is attached and references are available on request.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