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Balance-sheet and liquidity risk professional with ~7 years across ALM, IRRBB analytics, and model validation and governance. At Moody's Analytics, holds delegated sign-off authority on valuation, sensitivity, and ALM outputs for institutional portfolios ($5-25bn per engagement) — independently reviewing model methodology, curve construction, spread calibration, and assumption defensibility prior to release, and benchmarking outputs against economic intuition and alternative calibrations. Prior insurance-accounting transformation at EY and stochastic ALM/LDI studies for pension funds at Ortec Finance. CFA charter,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&amp; IRRBB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Gap &amp; Cash 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Curve Construction &amp; Spread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Sensitivity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 Charterholder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Validation &amp; Independent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ranging $5-25bn per engagement (cumulatively $50bn+) — independently review model methodology, curve construction, spread calibration, assumptions,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challenge methodology choices, validate economic defensibility of assumptions, benchmark model performance against alternative calibrations and economic intuition, and document findings to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issues, interfacing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ALM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Sheet, IRRBB &amp; Liquidity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 rate risk and duration analysis under parallel and non-parallel rate shocks — including sensitivity analysis at portfolio-level ALM aggregates —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(rates, FX, inflation) and cross-checked sensitivity consistency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 — supporting model-governance audit readiness.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interest-rate exposure, scenario impacts, assumption sensitivity, and balance-sheet implications.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—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scoped requirements into development requests and contributed to successful migration of all assigned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adoption of IFRS 17/9 standards; contributed to governance documentation and regulatory 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and cash flow, liquidity, and hedging analysis across interest-rate, inflation, and currency risk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platform; conducted risk decomposition and contribution-to-risk attribution.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(UPP) — developed and validated the model capturing Funding Policy dynamics,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