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04, 2026</w:t>
      </w:r>
    </w:p>
    <w:p>
      <w:r>
        <w:t>Re: Manager, Balance Sheet and Liquidity Risk Model Validation — RBC</w:t>
      </w:r>
    </w:p>
    <w:p>
      <w:r>
        <w:t>Dear Hiring Team,</w:t>
      </w:r>
    </w:p>
    <w:p>
      <w:r>
        <w:t>I currently hold delegated sign-off authority on valuation, sensitivity, and ALM outputs for multi-asset institutional portfolios at Moody's Analytics — operating within a formal model-governance framework that parallels the second-line independent review RBC's GRM Balance Sheet and Liquidity Risk team performs at the enterprise level. I would like to be considered for the Manager, Balance Sheet and Liquidity Risk Model Validation role.</w:t>
      </w:r>
    </w:p>
    <w:p>
      <w:r>
        <w:t>Over the past four years at Moody's I have independently reviewed curve construction, spread calibration, assumptions, and cross-asset interactions on portfolios of $5-25bn per engagement prior to production release. Day-to-day, this maps closely to the validation activities in your posting: assessing methodology and assumption choices, running parallel and non-parallel rate-shock analysis under IRRBB-aligned frameworks, validating derivatives pricing outputs and sensitivity consistency, and escalating outputs that are mathematically defensible but economically unsupported. I also led the design of a multi-scenario cash-flow projection engine with time-bucketed liquidity gap analytics — meaning I can challenge banking-book interest rate risk and liquidity models from the perspective of someone who has built them. Before Moody's I delivered IFRS 17 and IFRS 9 transformation at EY, and stochastic ALM and LDI studies for Canadian pension funds at Ortec Finance. I hold the CFA charter and dual MSc degrees in Financial Modelling and Chemical Engineering from Western University, and I work daily in Python, SQL, and Excel.</w:t>
      </w:r>
    </w:p>
    <w:p>
      <w:r>
        <w:t>What draws me specifically to GRM BSLR is the second-line independence — the mandate to be an effective challenger to methodology and assumption choices on the bank's IRRBB, liquidity, and FTP frameworks. That is precisely the analytical posture I have built at Moody's, and the discipline I want to bring to a Big Six balance sheet at enterprise scale.</w:t>
      </w:r>
    </w:p>
    <w:p>
      <w:r>
        <w:t>I am based in Toronto, available for interviews immediately, and can commit to a start approximately four weeks after offer acceptance. References available on request. Thank you for your time.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