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14, 2026</w:t>
      </w:r>
    </w:p>
    <w:p>
      <w:r>
        <w:t>Re: Senior Manager Quantitative Analytics — Affirm</w:t>
      </w:r>
    </w:p>
    <w:p>
      <w:r>
        <w:t>Dear Hiring Team,</w:t>
      </w:r>
    </w:p>
    <w:p>
      <w:r>
        <w:t>I hold delegated sign-off authority on valuation, sensitivity, and ALM model outputs at Moody's Analytics for institutional portfolios of $5-25bn per engagement, and I sit on the model governance committee that helps set methodology-review, benchmarking, and documentation standards across our client-delivered analytics. That independent-challenge seat is a closely analogous seat to the one Affirm's Model Risk Management team occupies, and it is why I am applying for the Senior Manager Quantitative Analytics role.</w:t>
      </w:r>
    </w:p>
    <w:p>
      <w:r>
        <w:t>My validation work is hands-on rather than supervisory-only. I test conceptual soundness and economic defensibility, review curve construction and calibration, check sensitivity consistency and stability at portfolio aggregates, and review the aggregation logic that carries security-level data into reported risk metrics. When a client-delivery run passed every internal check but failed economic intuition under a rate shock, I held the release, decomposed the sensitivities by asset class, isolated a calibration edge case, and worked with product and development owners on the fix and the regression test that followed. I also build: an enterprise multi-scenario cash-flow projection engine, spreadsheet-to-Python migrations under governance audit, and agentic-AI review workflows in Claude Code and Cursor that cut cycle time 30-40%. Python is a daily tool and SQL supports my day-to-day analysis; I mentor junior colleagues within our ~12-person modelling team.</w:t>
      </w:r>
    </w:p>
    <w:p>
      <w:r>
        <w:t>One thing I would rather state than have you infer: my model estate has been valuation, ALM, and stochastic scenario models, not consumer-underwriting machine learning, and my track record is as a senior individual contributor and mentor rather than a formal people manager. What transfers is the validation discipline itself — conceptual soundness testing, independent challenge, escalation judgment — plus a genuine appetite for the mechanics of the models I am reviewing. Underwriting is where Affirm's economics actually live, so the MRM pillar covering it is the one worth doing well, and I would spend my first months inside your model documentation, data lineage, and code before offering opinions.</w:t>
      </w:r>
    </w:p>
    <w:p>
      <w:r>
        <w:t>I am Toronto-based, comfortable in a remote-first team, available for interviews immediately, and can start roughly four weeks after offer acceptance. References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