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 w:line="240" w:lineRule="auto"/>
      </w:pPr>
      <w:r>
        <w:rPr>
          <w:rFonts w:ascii="Avenir Next LT Pro" w:hAnsi="Avenir Next LT Pro" w:cs="Avenir Next LT Pro"/>
          <w:b/>
          <w:i w:val="0"/>
          <w:color w:val="1A1A1A"/>
          <w:sz w:val="38"/>
        </w:rPr>
        <w:t>Saber Ayatollahi</w:t>
      </w:r>
      <w:r>
        <w:rPr>
          <w:rFonts w:ascii="Avenir Next LT Pro" w:hAnsi="Avenir Next LT Pro" w:cs="Avenir Next LT Pro"/>
          <w:b w:val="0"/>
          <w:i w:val="0"/>
          <w:color w:val="1A1A1A"/>
          <w:sz w:val="22"/>
        </w:rPr>
        <w:t>, CFA, MSc</w:t>
      </w:r>
    </w:p>
    <w:p>
      <w:pPr>
        <w:spacing w:before="0" w:after="80" w:line="240" w:lineRule="auto"/>
      </w:pPr>
      <w:r>
        <w:rPr>
          <w:rFonts w:ascii="Avenir Next LT Pro" w:hAnsi="Avenir Next LT Pro" w:cs="Avenir Next LT Pro"/>
          <w:b w:val="0"/>
          <w:i w:val="0"/>
          <w:color w:val="1A1A1A"/>
          <w:sz w:val="19"/>
        </w:rPr>
        <w:t>Toronto, Canada  •  +1 (416) 856-1276  •  saber.ayatollahi@gmail.com  •  www.linkedin.com/in/sayatollahi</w:t>
      </w:r>
    </w:p>
    <w:p>
      <w:pPr>
        <w:keepNext/>
        <w:spacing w:before="140" w:after="60" w:line="240" w:lineRule="auto"/>
        <w:pBdr>
          <w:bottom w:val="single" w:sz="6" w:space="3" w:color="BFBFBF"/>
        </w:pBdr>
      </w:pPr>
      <w:r>
        <w:rPr>
          <w:rFonts w:ascii="Avenir Next LT Pro" w:hAnsi="Avenir Next LT Pro" w:cs="Avenir Next LT Pro"/>
          <w:b/>
          <w:i w:val="0"/>
          <w:color w:val="1A1A1A"/>
          <w:sz w:val="23"/>
          <w:caps w:val="true"/>
          <w:spacing w:val="20"/>
        </w:rPr>
        <w:t>SUMMARY</w:t>
      </w:r>
    </w:p>
    <w:p>
      <w:pPr>
        <w:spacing w:before="0" w:after="40" w:line="259" w:lineRule="auto"/>
        <w:jc w:val="both"/>
      </w:pPr>
      <w:r>
        <w:rPr>
          <w:rFonts w:ascii="Avenir Next LT Pro Light" w:hAnsi="Avenir Next LT Pro Light" w:cs="Avenir Next LT Pro Light"/>
          <w:b w:val="0"/>
          <w:i w:val="0"/>
          <w:color w:val="1A1A1A"/>
          <w:sz w:val="20"/>
        </w:rPr>
        <w:t>Quantitative modeller with ~7 years across ALM, balance-sheet, and derivatives analytics, targeting the Vice President, Capital Markets Treasury Quant mandate at RBC. Led design and implementation of an enterprise multi-asset cash-flow projection and liquidity-gap engine in Python; holds delegated sign-off on valuation, sensitivity, and ALM outputs for institutional portfolios of $5-25bn per engagement, independently reviewing curve construction, spread calibration, and rates/FX/inflation derivatives pricing. Model governance committee member; daily user of Claude Code and Cursor for AI-assisted model development. CFA, dual MSc (Financial Modelling; Chemical Engineering).</w:t>
      </w:r>
    </w:p>
    <w:p>
      <w:pPr>
        <w:keepNext/>
        <w:spacing w:before="140" w:after="60" w:line="240" w:lineRule="auto"/>
        <w:pBdr>
          <w:bottom w:val="single" w:sz="6" w:space="3" w:color="BFBFBF"/>
        </w:pBdr>
      </w:pPr>
      <w:r>
        <w:rPr>
          <w:rFonts w:ascii="Avenir Next LT Pro" w:hAnsi="Avenir Next LT Pro" w:cs="Avenir Next LT Pro"/>
          <w:b/>
          <w:i w:val="0"/>
          <w:color w:val="1A1A1A"/>
          <w:sz w:val="23"/>
          <w:caps w:val="true"/>
          <w:spacing w:val="20"/>
        </w:rPr>
        <w:t>CORE SKILLS</w:t>
      </w:r>
    </w:p>
    <w:p>
      <w:pPr>
        <w:spacing w:before="0" w:after="40" w:line="269" w:lineRule="auto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Fixed Income &amp; Derivatives Valuation</w:t>
      </w:r>
      <w:r>
        <w:rPr>
          <w:rFonts w:ascii="Avenir Next LT Pro" w:hAnsi="Avenir Next LT Pro" w:cs="Avenir Next LT Pro"/>
          <w:b w:val="0"/>
          <w:i w:val="0"/>
          <w:color w:val="BFBFBF"/>
          <w:sz w:val="20"/>
        </w:rPr>
        <w:t xml:space="preserve">  •  </w:t>
      </w: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Curve Construction &amp; Spread Calibration Review</w:t>
      </w:r>
      <w:r>
        <w:rPr>
          <w:rFonts w:ascii="Avenir Next LT Pro" w:hAnsi="Avenir Next LT Pro" w:cs="Avenir Next LT Pro"/>
          <w:b w:val="0"/>
          <w:i w:val="0"/>
          <w:color w:val="BFBFBF"/>
          <w:sz w:val="20"/>
        </w:rPr>
        <w:t xml:space="preserve">  •  </w:t>
      </w: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Interest Rate Risk (IRRBB) &amp; Duration Analytics</w:t>
      </w:r>
      <w:r>
        <w:rPr>
          <w:rFonts w:ascii="Avenir Next LT Pro" w:hAnsi="Avenir Next LT Pro" w:cs="Avenir Next LT Pro"/>
          <w:b w:val="0"/>
          <w:i w:val="0"/>
          <w:color w:val="BFBFBF"/>
          <w:sz w:val="20"/>
        </w:rPr>
        <w:t xml:space="preserve">  •  </w:t>
      </w: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Funding, Liquidity &amp; Cash-Flow Projection Modelling</w:t>
      </w:r>
      <w:r>
        <w:rPr>
          <w:rFonts w:ascii="Avenir Next LT Pro" w:hAnsi="Avenir Next LT Pro" w:cs="Avenir Next LT Pro"/>
          <w:b w:val="0"/>
          <w:i w:val="0"/>
          <w:color w:val="BFBFBF"/>
          <w:sz w:val="20"/>
        </w:rPr>
        <w:t xml:space="preserve">  •  </w:t>
      </w: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Balance Sheet &amp; ALM Analytics</w:t>
      </w:r>
      <w:r>
        <w:rPr>
          <w:rFonts w:ascii="Avenir Next LT Pro" w:hAnsi="Avenir Next LT Pro" w:cs="Avenir Next LT Pro"/>
          <w:b w:val="0"/>
          <w:i w:val="0"/>
          <w:color w:val="BFBFBF"/>
          <w:sz w:val="20"/>
        </w:rPr>
        <w:t xml:space="preserve">  •  </w:t>
      </w: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Model Documentation, Validation &amp; Governance</w:t>
      </w:r>
      <w:r>
        <w:rPr>
          <w:rFonts w:ascii="Avenir Next LT Pro" w:hAnsi="Avenir Next LT Pro" w:cs="Avenir Next LT Pro"/>
          <w:b w:val="0"/>
          <w:i w:val="0"/>
          <w:color w:val="BFBFBF"/>
          <w:sz w:val="20"/>
        </w:rPr>
        <w:t xml:space="preserve">  •  </w:t>
      </w: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Stress Testing &amp; Scenario Analysis</w:t>
      </w:r>
      <w:r>
        <w:rPr>
          <w:rFonts w:ascii="Avenir Next LT Pro" w:hAnsi="Avenir Next LT Pro" w:cs="Avenir Next LT Pro"/>
          <w:b w:val="0"/>
          <w:i w:val="0"/>
          <w:color w:val="BFBFBF"/>
          <w:sz w:val="20"/>
        </w:rPr>
        <w:t xml:space="preserve">  •  </w:t>
      </w: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Stochastic Simulation &amp; Monte Carlo</w:t>
      </w:r>
      <w:r>
        <w:rPr>
          <w:rFonts w:ascii="Avenir Next LT Pro" w:hAnsi="Avenir Next LT Pro" w:cs="Avenir Next LT Pro"/>
          <w:b w:val="0"/>
          <w:i w:val="0"/>
          <w:color w:val="BFBFBF"/>
          <w:sz w:val="20"/>
        </w:rPr>
        <w:t xml:space="preserve">  •  </w:t>
      </w: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Python (pandas, NumPy, SciPy), SQL, VBA, Git version control</w:t>
      </w:r>
      <w:r>
        <w:rPr>
          <w:rFonts w:ascii="Avenir Next LT Pro" w:hAnsi="Avenir Next LT Pro" w:cs="Avenir Next LT Pro"/>
          <w:b w:val="0"/>
          <w:i w:val="0"/>
          <w:color w:val="BFBFBF"/>
          <w:sz w:val="20"/>
        </w:rPr>
        <w:t xml:space="preserve">  •  </w:t>
      </w: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AI-Assisted Development (Claude Code, Cursor IDE)</w:t>
      </w:r>
      <w:r>
        <w:rPr>
          <w:rFonts w:ascii="Avenir Next LT Pro" w:hAnsi="Avenir Next LT Pro" w:cs="Avenir Next LT Pro"/>
          <w:b w:val="0"/>
          <w:i w:val="0"/>
          <w:color w:val="BFBFBF"/>
          <w:sz w:val="20"/>
        </w:rPr>
        <w:t xml:space="preserve">  •  </w:t>
      </w: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Stakeholder Communication &amp; Model Explanation</w:t>
      </w:r>
    </w:p>
    <w:p>
      <w:pPr>
        <w:keepNext/>
        <w:spacing w:before="140" w:after="60" w:line="240" w:lineRule="auto"/>
        <w:pBdr>
          <w:bottom w:val="single" w:sz="6" w:space="3" w:color="BFBFBF"/>
        </w:pBdr>
      </w:pPr>
      <w:r>
        <w:rPr>
          <w:rFonts w:ascii="Avenir Next LT Pro" w:hAnsi="Avenir Next LT Pro" w:cs="Avenir Next LT Pro"/>
          <w:b/>
          <w:i w:val="0"/>
          <w:color w:val="1A1A1A"/>
          <w:sz w:val="23"/>
          <w:caps w:val="true"/>
          <w:spacing w:val="20"/>
        </w:rPr>
        <w:t>EXPERIENCE</w:t>
      </w:r>
    </w:p>
    <w:p>
      <w:pPr>
        <w:keepNext/>
        <w:spacing w:before="100" w:after="0" w:line="240" w:lineRule="auto"/>
      </w:pPr>
      <w:r>
        <w:rPr>
          <w:rFonts w:ascii="Avenir Next LT Pro" w:hAnsi="Avenir Next LT Pro" w:cs="Avenir Next LT Pro"/>
          <w:b/>
          <w:i/>
          <w:color w:val="1A1A1A"/>
          <w:sz w:val="23"/>
        </w:rPr>
        <w:t>Moody's Analytics</w:t>
      </w:r>
    </w:p>
    <w:p>
      <w:pPr>
        <w:keepNext/>
        <w:spacing w:before="0" w:after="0" w:line="240" w:lineRule="auto"/>
      </w:pPr>
      <w:r>
        <w:rPr>
          <w:rFonts w:ascii="Avenir Next LT Pro" w:hAnsi="Avenir Next LT Pro" w:cs="Avenir Next LT Pro"/>
          <w:b/>
          <w:i/>
          <w:color w:val="1A1A1A"/>
          <w:sz w:val="21"/>
        </w:rPr>
        <w:t>Asst. Director - Modelling Services</w:t>
      </w:r>
    </w:p>
    <w:p>
      <w:pPr>
        <w:keepNext/>
        <w:spacing w:before="0" w:after="40" w:line="240" w:lineRule="auto"/>
      </w:pPr>
      <w:r>
        <w:rPr>
          <w:rFonts w:ascii="Avenir Next LT Pro" w:hAnsi="Avenir Next LT Pro" w:cs="Avenir Next LT Pro"/>
          <w:b w:val="0"/>
          <w:i/>
          <w:color w:val="1A1A1A"/>
          <w:sz w:val="21"/>
        </w:rPr>
        <w:t>Toronto, May 2023 - Present</w:t>
      </w:r>
    </w:p>
    <w:p>
      <w:pPr>
        <w:keepNext/>
        <w:spacing w:before="60" w:after="20" w:line="240" w:lineRule="auto"/>
      </w:pPr>
      <w:r>
        <w:rPr>
          <w:rFonts w:ascii="Avenir Next LT Pro" w:hAnsi="Avenir Next LT Pro" w:cs="Avenir Next LT Pro"/>
          <w:b/>
          <w:i w:val="0"/>
          <w:color w:val="1A1A1A"/>
          <w:sz w:val="21"/>
        </w:rPr>
        <w:t>Model Development &amp; Implementation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Led design and implementation of an enterprise multi-asset cash-flow projection engine supporting base, stress, and reverse-stress scenarios, delivering forward-looking liquidity visibility across ALM and funding horizons.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Architected configurable time-bucketed liquidity gap analytics (T+1 through multi-year), enabling funding optimization, refinancing risk assessment, and asset-allocation decisions.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Re-engineered manual spreadsheet workflows into scalable Python analytics pipelines with embedded logging, validation, and auditability controls.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Built agentic AI development workflows (Claude Code, Cursor IDE) automating code generation, validation scaffolding, and anomaly detection, cutting development cycle time an estimated 30-40% on comparable modules.</w:t>
      </w:r>
    </w:p>
    <w:p>
      <w:pPr>
        <w:keepNext/>
        <w:spacing w:before="60" w:after="20" w:line="240" w:lineRule="auto"/>
      </w:pPr>
      <w:r>
        <w:rPr>
          <w:rFonts w:ascii="Avenir Next LT Pro" w:hAnsi="Avenir Next LT Pro" w:cs="Avenir Next LT Pro"/>
          <w:b/>
          <w:i w:val="0"/>
          <w:color w:val="1A1A1A"/>
          <w:sz w:val="21"/>
        </w:rPr>
        <w:t>Curve, Spread &amp; Derivatives Model Review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Holds delegated sign-off authority on valuation, sensitivity, and ALM outputs for institutional portfolios of $5-25bn per engagement (~$50bn+ cumulative), independently reviewing curve construction, spread calibration, and cross-asset interactions prior to production release.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Validated derivatives pricing outputs across rates, FX, and inflation, confirming sensitivity consistency at portfolio-level ALM aggregates.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Oversaw interest rate risk and duration analysis under parallel and non-parallel rate shocks, aligned with IRRBB standards analogous to OSFI B-12 and Basel Committee frameworks.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Reviewed aggregation logic converting security-level exposures into portfolio-level risk metrics feeding downstream ALM and capital processes.</w:t>
      </w:r>
    </w:p>
    <w:p>
      <w:pPr>
        <w:keepNext/>
        <w:spacing w:before="60" w:after="20" w:line="240" w:lineRule="auto"/>
      </w:pPr>
      <w:r>
        <w:rPr>
          <w:rFonts w:ascii="Avenir Next LT Pro" w:hAnsi="Avenir Next LT Pro" w:cs="Avenir Next LT Pro"/>
          <w:b/>
          <w:i w:val="0"/>
          <w:color w:val="1A1A1A"/>
          <w:sz w:val="21"/>
        </w:rPr>
        <w:t>Model Documentation, Governance &amp; Business Support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Serves on the model governance committee, contributing to methodology review, model documentation and benchmarking standards, and ongoing model-performance assessment for client-delivered analytics.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Escalated outputs lacking mathematical or economic defensibility and acted as escalation point for client-critical analytical issues with Heads of Risk and investment stakeholders.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Prepared analytical summaries for senior stakeholders on interest rate exposure, scenario impacts, and balance sheet sensitivities, translating quantitative output into decision-ready narratives for non-technical audiences.</w:t>
      </w:r>
    </w:p>
    <w:p>
      <w:pPr>
        <w:keepNext/>
        <w:spacing w:before="0" w:after="0" w:line="240" w:lineRule="auto"/>
      </w:pPr>
      <w:r>
        <w:rPr>
          <w:rFonts w:ascii="Avenir Next LT Pro" w:hAnsi="Avenir Next LT Pro" w:cs="Avenir Next LT Pro"/>
          <w:b/>
          <w:i/>
          <w:color w:val="1A1A1A"/>
          <w:sz w:val="21"/>
        </w:rPr>
        <w:t>Client Service Specialist</w:t>
      </w:r>
    </w:p>
    <w:p>
      <w:pPr>
        <w:keepNext/>
        <w:spacing w:before="0" w:after="40" w:line="240" w:lineRule="auto"/>
      </w:pPr>
      <w:r>
        <w:rPr>
          <w:rFonts w:ascii="Avenir Next LT Pro" w:hAnsi="Avenir Next LT Pro" w:cs="Avenir Next LT Pro"/>
          <w:b w:val="0"/>
          <w:i/>
          <w:color w:val="1A1A1A"/>
          <w:sz w:val="21"/>
        </w:rPr>
        <w:t>Toronto, May 2022 - May 2023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Led onboarding and implementation for U.S. and Canadian pension funds and asset managers migrating to the PFaroe DB (risk &amp; ALM) and PFaroe PM (portfolio management) platforms; validated model outputs post-deployment.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Translated investment-team requirements into scoped development requests for Product Owners and advised clients on asset, liability, and ALM configurations.</w:t>
      </w:r>
    </w:p>
    <w:p>
      <w:pPr>
        <w:keepNext/>
        <w:spacing w:before="100" w:after="0" w:line="240" w:lineRule="auto"/>
      </w:pPr>
      <w:r>
        <w:rPr>
          <w:rFonts w:ascii="Avenir Next LT Pro" w:hAnsi="Avenir Next LT Pro" w:cs="Avenir Next LT Pro"/>
          <w:b/>
          <w:i/>
          <w:color w:val="1A1A1A"/>
          <w:sz w:val="23"/>
        </w:rPr>
        <w:t>Ernst &amp; Young (EY)</w:t>
      </w:r>
    </w:p>
    <w:p>
      <w:pPr>
        <w:keepNext/>
        <w:spacing w:before="0" w:after="0" w:line="240" w:lineRule="auto"/>
      </w:pPr>
      <w:r>
        <w:rPr>
          <w:rFonts w:ascii="Avenir Next LT Pro" w:hAnsi="Avenir Next LT Pro" w:cs="Avenir Next LT Pro"/>
          <w:b/>
          <w:i/>
          <w:color w:val="1A1A1A"/>
          <w:sz w:val="21"/>
        </w:rPr>
        <w:t>Senior Consultant - IFRS &amp; Financial Risk Transformation</w:t>
      </w:r>
    </w:p>
    <w:p>
      <w:pPr>
        <w:keepNext/>
        <w:spacing w:before="0" w:after="40" w:line="240" w:lineRule="auto"/>
      </w:pPr>
      <w:r>
        <w:rPr>
          <w:rFonts w:ascii="Avenir Next LT Pro" w:hAnsi="Avenir Next LT Pro" w:cs="Avenir Next LT Pro"/>
          <w:b w:val="0"/>
          <w:i/>
          <w:color w:val="1A1A1A"/>
          <w:sz w:val="21"/>
        </w:rPr>
        <w:t>Toronto, Sep 2021 - Apr 2022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Delivered IFRS 17 and IFRS 9 transformation projects for Canadian and international insurance clients, aligning regulatory requirements with system implementation and financial-reporting frameworks.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Advised actuarial, finance, IT, and program-management functions on standards adoption and contributed to governance documentation and regulatory-readiness processes.</w:t>
      </w:r>
    </w:p>
    <w:p>
      <w:pPr>
        <w:keepNext/>
        <w:spacing w:before="100" w:after="0" w:line="240" w:lineRule="auto"/>
      </w:pPr>
      <w:r>
        <w:rPr>
          <w:rFonts w:ascii="Avenir Next LT Pro" w:hAnsi="Avenir Next LT Pro" w:cs="Avenir Next LT Pro"/>
          <w:b/>
          <w:i/>
          <w:color w:val="1A1A1A"/>
          <w:sz w:val="23"/>
        </w:rPr>
        <w:t>Ortec Finance Canada</w:t>
      </w:r>
    </w:p>
    <w:p>
      <w:pPr>
        <w:keepNext/>
        <w:spacing w:before="0" w:after="0" w:line="240" w:lineRule="auto"/>
      </w:pPr>
      <w:r>
        <w:rPr>
          <w:rFonts w:ascii="Avenir Next LT Pro" w:hAnsi="Avenir Next LT Pro" w:cs="Avenir Next LT Pro"/>
          <w:b/>
          <w:i/>
          <w:color w:val="1A1A1A"/>
          <w:sz w:val="21"/>
        </w:rPr>
        <w:t>Consultant - Asset-Liability Management &amp; Risk</w:t>
      </w:r>
    </w:p>
    <w:p>
      <w:pPr>
        <w:keepNext/>
        <w:spacing w:before="0" w:after="40" w:line="240" w:lineRule="auto"/>
      </w:pPr>
      <w:r>
        <w:rPr>
          <w:rFonts w:ascii="Avenir Next LT Pro" w:hAnsi="Avenir Next LT Pro" w:cs="Avenir Next LT Pro"/>
          <w:b w:val="0"/>
          <w:i/>
          <w:color w:val="1A1A1A"/>
          <w:sz w:val="21"/>
        </w:rPr>
        <w:t>Toronto, Feb 2019 - Sep 2021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Built and interpreted stochastic economic scenario generators assessing interest rate risk and funding volatility under base-case and stressed environments.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Performed cash flow, liquidity, and hedging analysis across interest rate, inflation, and currency risk for international institutional clients.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Delivered ALM studies analyzing funding ratios, duration mismatch, and long-term balance sheet risk exposures for pension funds and institutional investors.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Performed asset-only and surplus portfolio optimization on VaR and CVaR using Ortec's GLASS platform, with risk decomposition and near-optimal frontier analysis to test allocation robustness.</w:t>
      </w:r>
    </w:p>
    <w:p>
      <w:pPr>
        <w:keepNext/>
        <w:spacing w:before="140" w:after="60" w:line="240" w:lineRule="auto"/>
        <w:pBdr>
          <w:bottom w:val="single" w:sz="6" w:space="3" w:color="BFBFBF"/>
        </w:pBdr>
      </w:pPr>
      <w:r>
        <w:rPr>
          <w:rFonts w:ascii="Avenir Next LT Pro" w:hAnsi="Avenir Next LT Pro" w:cs="Avenir Next LT Pro"/>
          <w:b/>
          <w:i w:val="0"/>
          <w:color w:val="1A1A1A"/>
          <w:sz w:val="23"/>
          <w:caps w:val="true"/>
          <w:spacing w:val="20"/>
        </w:rPr>
        <w:t>EDUCATION &amp; CREDENTIALS</w:t>
      </w:r>
    </w:p>
    <w:p>
      <w:pPr>
        <w:tabs>
          <w:tab w:pos="259" w:val="left"/>
        </w:tabs>
        <w:spacing w:before="0" w:after="20" w:line="259" w:lineRule="auto"/>
        <w:ind w:left="259" w:hanging="259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Chartered Financial Analyst (CFA) - CFA Institute, 2024</w:t>
      </w:r>
    </w:p>
    <w:p>
      <w:pPr>
        <w:tabs>
          <w:tab w:pos="259" w:val="left"/>
        </w:tabs>
        <w:spacing w:before="0" w:after="20" w:line="259" w:lineRule="auto"/>
        <w:ind w:left="259" w:hanging="259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MSc, Financial Modelling - Western University, 2018</w:t>
      </w:r>
    </w:p>
    <w:p>
      <w:pPr>
        <w:tabs>
          <w:tab w:pos="259" w:val="left"/>
        </w:tabs>
        <w:spacing w:before="0" w:after="20" w:line="259" w:lineRule="auto"/>
        <w:ind w:left="259" w:hanging="259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MSc, Chemical Engineering (Full Scholarship) - Western University, 2016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venir Next LT Pro" w:hAnsi="Avenir Next LT Pro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