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14, 2026</w:t>
      </w:r>
    </w:p>
    <w:p>
      <w:r>
        <w:t>Re: VP Capital Markets Treasury Quant — RBC</w:t>
      </w:r>
    </w:p>
    <w:p>
      <w:r>
        <w:t>Reviewing curve construction, spread calibration, and cross-asset interactions before analytics reach production is my current day job: at Moody's Analytics I hold delegated sign-off authority on valuation, sensitivity, and ALM outputs for multi-asset institutional portfolios of $5-25bn per engagement. That mandate also covers validation of derivatives pricing across rates, FX, and inflation, and interest rate and duration analysis under parallel and non-parallel shocks. It is the analytical core of the Vice President, Capital Markets Treasury Quant role, and why I am applying.</w:t>
      </w:r>
    </w:p>
    <w:p>
      <w:r>
        <w:t>On the development side, I led the design and implementation of an enterprise multi-asset cash-flow projection engine covering base, stress, and reverse-stress scenarios, and architected configurable time-bucketed liquidity gap analytics from T+1 through multi-year horizons -- directly relevant to the funding, refinancing, and liquidity questions Capital Markets Treasury works through daily. The build was Python-first: I re-engineered manual spreadsheet workflows into auditable pipelines, and I use Claude Code and Cursor daily for code generation, validation scaffolding, and documentation, cutting cycle time an estimated 30-40% on comparable modules.</w:t>
      </w:r>
    </w:p>
    <w:p>
      <w:r>
        <w:t>I also sit on Moody's model governance committee, contributing to methodology review, documentation standards, and ongoing model-performance assessment -- and I am the escalation point when an output is mathematically defensible but economically unsupported. Explaining that judgement to clients' Heads of Risk and investment teams is routine. Earlier roles extend the balance-sheet-risk bench: IFRS 9 and IFRS 17 transformation delivery at EY, and at Ortec Finance stochastic economic scenario generators plus interest rate, inflation, and currency hedging analysis for institutional investors. I hold the CFA charter and dual MSc degrees in Financial Modelling and Chemical Engineering.</w:t>
      </w:r>
    </w:p>
    <w:p>
      <w:r>
        <w:t>RBC's Capital Markets Treasury Quant team sits at the intersection of funding, liquidity, fixed-income, and hedging-derivative analytics with model documentation and governance -- the exact analytical intersection I've operated in for seven years, and where I would take ownership from day one. I am Toronto-based, available to interview immediately, and can start approximately four weeks after an offer.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