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VP, Portfolio Management, Investing &amp; Oversight candidate with seven years across institutional investment-risk platforms, portfolio analytics, and model governance. At Moody's Analytics, holds delegated sign-off authority on valuation, sensitivity, and portfolio-level risk outputs for institutional client portfolios of $5-25bn per engagement, and supported the migration of all assigned client accounts from a legacy platform (Calypso) to Moody's PFaroe platform. Translates investment-team requirements into technology delivery, working across investment, risk, and product/development stakeholders. CFA charter;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Institutional Investment-Risk Platform Delivery &amp; Client Migration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Construction &amp; Asset Allocation (SAA/TAA)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Analytics, Risk Decomposition &amp; Attribution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Governance, Documentation &amp; Benchmarking Standards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Independent Review, Auditability &amp; Exception Escalation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Requirements Scoping for Product &amp; Technology Teams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Cross-Functional Stakeholder Coordination &amp; Communication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Client Onboarding &amp; Implementation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(Advanced); SQL (Intermediate)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 - Asset Management &amp; Buy-Side Solutions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Portfolio Analytics, Insights &amp; Oversight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portfolio-level risk outputs delivered to multi-asset institutional client portfolios of $5-25bn per engagement (~$50bn+ cumulative), reviewing curve construction, spread calibration, and cross-asset interactions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Reviews aggregation logic converting security-level exposures into portfolio-level risk metrics that feed downstream portfolio and reporting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Validates derivatives pricing outputs across rates, FX, and inflation, cross-checking sensitivity consistency at portfolio-level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Prepares analytical summaries for senior stakeholders on rate exposure, scenario impacts, and portfolio sensitivities, translating quantitative output into investment-committee-ready narratives.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Governance, Auditability &amp; Escalation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on Moody's model governance committee, contributing to methodology review, documentation and benchmarking standards, and performance assessment for the firm's quantitative and valuation models used in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Operates within a formal model-governance framework covering independent review and challenge, assumption validation, and escalation of outputs lacking mathematical or economic defensibility; acts as escalation point for client-critical analytical issues with clients' Heads of Risk.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Platform Workflows &amp; Operational Efficiency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anomaly detection, cutting development cycle time an estimated 30-40%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Designed and implemented an enterprise multi-asset cash flow projection engine supporting base, stress, and reverse-stress scenarios across multi-year horizons.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Client Onboarding &amp; Requirements Translation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onto the PFaroe DB (risk analytics) and PFaroe PM (portfolio management) investment platforms.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Acted as technical liaison between client investment teams and product owners, scoping requirements into structured development requests and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the successful migration of all assigned client accounts from the legacy Calypso platform to PFaroe PM.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actuarial, finance, IT, risk, and program-management teams on milestone delivery; contributed to governance documentation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pension and institutional clients on Strategic Asset Allocation (SAA) and Tactical Asset Allocation (TAA) trade-offs through stress testing and sensitivity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portfolio optimization on VaR and CVaR using Ortec's GLASS platform, with risk decomposition, risk attribution, and near-optimal frontier analysis to test allocation robustness.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and liability-driven investment (LDI) studies for Canadian and international pension funds covering funding ratios, duration alignment, and liquidity trade-offs.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allocation recommendations on-site to investment committees at Canadian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