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14, 2026</w:t>
      </w:r>
    </w:p>
    <w:p>
      <w:r>
        <w:t>Re: VP, Portfolio Management, Investing &amp; Oversight — Richardson Wealth</w:t>
      </w:r>
    </w:p>
    <w:p>
      <w:r>
        <w:t>Dear Hiring Team,</w:t>
      </w:r>
    </w:p>
    <w:p>
      <w:r>
        <w:t>For four years at Moody's Analytics I have held delegated sign-off authority on the valuation, sensitivity, and portfolio-level risk outputs institutional clients act on, and I led client onboarding onto Moody's PFaroe platform, supporting migration of assigned accounts off a legacy system. That combination of platform delivery, governance discipline, and daily translation between investment teams and technology is close to the core of the VP, Portfolio Management, Investing &amp; Oversight mandate, and it is why I am applying.</w:t>
      </w:r>
    </w:p>
    <w:p>
      <w:r>
        <w:t>Parts of my current mandate are adjacent to this role, though my delivery has been institutional rather than advisor-channel. I sit on Moody's model governance committee, covering methodology review, documentation, benchmarking standards, and performance assessment for our quantitative and valuation models — a governance discipline transferable to model-portfolio oversight, even though the models I govern are analytical rather than advisor-facing. My mandate also includes independent review and challenge, and escalating outputs that are mathematically defensible but economically unsupported, with clients' Heads of Risk as my escalation counterpart — the same auditability instinct this role needs to embed into advisor workflows. I have also re-engineered spreadsheet workflows into Python pipelines with embedded logging and validation controls, and scoped client requirements into structured Product Owner requests. Earlier, at Ortec Finance, I advised pension and institutional clients on strategic and tactical asset allocation, ran VaR/CVaR portfolio optimization with risk decomposition and attribution, and presented recommendations to investment committees.</w:t>
      </w:r>
    </w:p>
    <w:p>
      <w:r>
        <w:t>What makes Richardson Wealth compelling is the scope of the mandate: one portfolio-management experience built to scale across both Richardson Wealth and IA Private Wealth, with compliance designed in rather than bolted on. I have not worked inside the advisor channel directly, but the underlying discipline — translating how portfolios are constructed, monitored, and reviewed into workflows that survive governance scrutiny while reducing manual effort — is the craft I practice today. I hold the CFA charter and dual MSc degrees from Western University. I am Toronto-based, available for interviews immediately, and can start approximately four weeks after an offer.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