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VP, Portfolio Management, Investing &amp; Oversight candidate with ~7 years bridging institutional investment teams, technology, and risk &amp; governance functions on enterprise portfolio and analytics platforms. Led client onboarding and the legacy Calypso migration to the PFaroe PM platform for all assigned accounts; serves on Moody's model governance committee covering methodology review, documentation, and benchmarking standards. Holds delegated sign-off on valuation, sensitivity, and portfolio-level analytics for institutional portfolios of $5-25bn per engagement. CFA charterholder; dual MSc in Financial Modelling and Chemical Engineering.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Investment &amp; Portfolio Platform Delivery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Governance, Approvals &amp; Documentation Standards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Construction &amp; Asset Allocation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Risk, Sensitivity &amp; Diagnostics Reporting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Auditability, Logging &amp; Process Controls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Exception Escalation &amp; Resolution Workflows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Cross-Functional Delivery (Investments, Technology, Risk, Finance/Actuarial)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Requirements Scoping &amp; Product Owner Partnership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Executive &amp; Investment-Committee Stakeholder Management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Governance &amp; Oversight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portfolio analytics delivered to multi-asset institutional client portfolios of $5-25bn per engagement (~$50bn+ cumulative), independently reviewing curve construction, spread calibration, and cross-asset interactions before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 on the model governance committee covering methodology review, documentation and benchmarking standards, and model-performance assessment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 outputs lacking mathematical or economic defensibility and act as escalation point for client-critical analytical issues, interfacing directly with clients' Heads of Risk and investment stakeholders.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Portfolio Analytics, Insights &amp; Client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aggregation logic converting security-level exposures into portfolio-level risk and sensitivity metrics feeding downstream reporting and capital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pricing outputs across rates, FX, and inflation, and oversee duration and sensitivity analytics to ensure consistency of risk metrics at portfolio-level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 analytical summaries for senior stakeholders on portfolio exposure, scenario impacts, and portfolio sensitivities, translating quantitative output into committee-ready narratives.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Platform Modernization &amp; Operational Efficiency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scenarios, with configurable time-bucketed analytics from T+1 through multi-year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analytics pipelines with embedded logging, validation, and auditability controls, closing a model-governance audit finding.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and documentation, reducing development cycle time an estimated 30-40% on comparable modules.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adopting the PFaroe DB (risk analytics) and PFaroe PM (portfolio management) platforms.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technical liaison between client investment teams and product owners: advised on portfolio, asset, and liability configuration, scoped requirements into PO development requests, and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Migrated all assigned client accounts off the legacy Calypso environment onto the PFaroe PM platform, with configuration patterns reused across the subsequent migration cohort.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projects for Canadian and international insurance clients, aligning regulatory requirements with system implementation and 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actuarial, finance, IT, risk, and program-management teams on milestone delivery, and contributed to governance documentation and regulatory-readiness processes.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institutional clients on Strategic Asset Allocation (SAA) and Tactical Asset Allocation (TAA) trade-offs through stress testing and sensitivity analysis, informing portfolio construction and duration positioning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platform, with risk decomposition, attribution, and near-optimal frontier analysis to test allocation robustness.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funding-ratio volatility and interest-rate risk under base-case and stressed environments for pension and institutional mandates.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 and allocation recommendations on-site to investment committees at Canadian pension-fund clients, including a three-plan university pension merger delivered on a team of three.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