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VP Data Product Owner candidate with ~7 years bridging institutional investment teams and the enterprise analytics and data products they run on. At Moody's Analytics, led client onboarding and the Calypso-to-PFaroe migration, scoped business requirements into Product Owner development requests, and serves on the model governance committee setting documentation, benchmarking, and validation standards. Re-engineered spreadsheet workflows into auditable Python and SQL pipelines with AI-assisted automation. CFA charterholder, dual MSc; asset management and insurance client depth from Ortec Finance and EY.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Enterprise Analytics &amp; Data Product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Business Requirements Scoping for Product Owners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Governance, Documentation &amp; Quality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Onboarding &amp; Product Adoption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Delivery (Business, IT, Risk, Finance)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Management &amp; Executive Communication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Analytics Pipeline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AI-Assisted Development Workflows (Claude Code, Cursor)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Management &amp; Institutional Investment Analytics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&amp; Data Product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giving institutional clients forward-looking liquidity visibility they previously lacked.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pipelines (pandas, PostgreSQL/SQL) with embedded logging, validation, and auditability controls, closing an internal governance audit.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documentation, reducing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Quality &amp; Standards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of $5-25bn per engagement (~$50bn+ cumulative), validating assumptions and economic defensibility prior to production release -- the same trust-in-the-numbers bar a data product must clear before business adoption.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Stakeholder Engagement &amp; Escalation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balance-sheet sensitivities, translating quantitative output into decision-ready narratives for investment committees and business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Acts as escalation point for client-critical analytical issues, interfacing directly with clients' Heads of Risk and investment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Client Onboarding &amp; Requirements Translation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PFaroe DB (risk &amp; ALM analytics) and PFaroe PM (portfolio management).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translating business requirements into scoped development requests and advising on asset, liability, and ALM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platform to PFaroe PM and validated model outputs post-deployment, underpinning each client's adoption of the new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programs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delivery, and contributed to governance documentation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 for the practice.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strategic asset allocation studies for Canadian and international pension funds and institutional investors, analyzing funding ratios, duration mismatch, and long-horizon balance-sheet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on-site to investment committees at pension-fund clients, converting stochastic scenario output into allocation recommendations.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