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15, 2026</w:t>
      </w:r>
    </w:p>
    <w:p>
      <w:r>
        <w:t>Re: VP Data Product Owner — Brookfield</w:t>
      </w:r>
    </w:p>
    <w:p>
      <w:r>
        <w:t>For four years at Moody's Analytics I have sat between institutional investment teams and the enterprise analytics platform they depend on: onboarding pension funds, asset managers, and consultants onto PFaroe, translating their business requirements into scoped Product Owner development requests, and then holding delegated sign-off on the analytics those clients act on. That demand-side-to-delivery loop is exactly what the VP Data Product Owner role in Technology Services is built around.</w:t>
      </w:r>
    </w:p>
    <w:p>
      <w:r>
        <w:t>Three parts of my record map onto this mandate. Adoption: I migrated all of my assigned client accounts from a legacy Calypso environment onto PFaroe PM and validated outputs post-deployment, because adoption is won on trust in the numbers rather than on features. Governance: I serve on Moody's model governance committee, contributing to methodology review, documentation and benchmarking standards, and model-performance assessment for client-delivered analytics; I also re-engineered spreadsheet workflows into Python pipelines with logging, validation, and auditability controls, which closed an internal governance audit. Cross-functional prioritization: at EY I coordinated actuarial, finance, IT, risk, and program-management teams through IFRS 17 and IFRS 9 transformation, where the real work was isolating the few decisions that needed executive sign-off and getting them made on time.</w:t>
      </w:r>
    </w:p>
    <w:p>
      <w:r>
        <w:t>What draws me to Brookfield specifically is that Technology Services is building data products for a private-markets and real-asset business, where the underlying data is heterogeneous and the value is in making a scattered picture decision-ready -- the same problem I have solved from the analytics-delivery side at Moody's. My background is long-horizon institutional investment analytics: ALM and asset-allocation studies for pension funds at Ortec Finance, multi-asset portfolio analytics and sign-off at Moody's, and agentic AI workflows (Claude Code, Cursor) that cut development cycle time an estimated 30-40% on comparable modules. I hold the CFA charter and dual MSc degrees from Western University. I am Toronto-based, available to interview immediately, and can start roughly four weeks after an offer. Thank you for your consideration.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