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Business analytics professional with ~7 years partnering with senior stakeholders at asset managers, pension funds, and consulting firms to turn complex data into decisions -- directly aligned with the Director, Business Analytics and Insights mandate. Led the design of an enterprise analytics engine, re-engineered manual spreadsheet reporting into audited Python pipelines, and built agentic AI workflows that cut development cycle time an estimated 30-40%. CFA charterholder with dual MSc degrees; track record of independently-reviewed analytical output trusted across roughly $50bn of institutional client portfolios.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Business Analytics &amp; Insight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Performance &amp; Risk Metrics Reporting (KPI-style)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(Python/Excel) &amp; Executive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AI-Enabled Automation (Claude Code, Cursor)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Rapid Prototyping &amp; Pipeline Modernization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/ PostgreSQL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Git &amp; CI/CD Workflows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&amp; Data Quality, Governance &amp;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Stakeholder Management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Management &amp; Institutional Client Domain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Delivery &amp; Mentorship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Business Analytics &amp; Insight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converting a manual process into a repeatable analytics capability across institutional portfolios of $5-25bn per engagement.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that gave client investment teams forward-looking funding and liquidity insight to guide 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data into portfolio-level risk and performance metrics -- the analytics equivalent of KPI reporting -- delivered to client Heads of Risk and downstream reporting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AI Enablement, Automation &amp; Rapid Prototyping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 - reducing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reporting workflows into scalable Python analytics pipelines with embedded logging, validation, and auditability controls, improving data quality and consistency of outputs.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Prototyped replacement pipelines in parallel with live delivery, ran them in shadow mode for two reporting cycles, reconciled results, and cut over with a rollback plan - a pattern reused across adjacent workflows.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Stakeholder Partnership &amp; Executive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exposure, scenario impacts, and balance-sheet sensitivities, translating quantitative output into investment-committee-ready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escalation point for client-critical analytical issues, interfacing directly with clients' Heads of Risk and investment stakeholders to resolve and remediate.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Mentored junior colleagues and acted as senior reviewer within a 12-person modelling services team, setting the review standard applied before client release.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&amp; Data Governance, Controls &amp; Quality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delivered to multi-asset institutional portfolios ($5-25bn per engagement, ~$50bn+ cumulative), independently reviewing methodology and assumptions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 - contributed to methodology review, documentation and benchmarking standards, and performance assessment for client-delivered analytics.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business requirements into prioritized development requests and validating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reporting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cross-functional actuarial, finance, IT, risk, and program-management teams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analytics studies for Canadian and international pension funds and institutional investors, quantifying funding ratio, duration, and long-horizon exposures to inform strategic 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attribution to test the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and recommendations on-site to investment committees at pension-fund clients, including the onboarding and study for a three-plan university pension merger.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