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15, 2026</w:t>
      </w:r>
    </w:p>
    <w:p>
      <w:r>
        <w:t>Re: Director, Business Analytics and Insights — CI Financial</w:t>
      </w:r>
    </w:p>
    <w:p>
      <w:r>
        <w:t>For the past four years at Moody's Analytics I have built and delivered the analytics that asset managers, pension funds, and consulting firms rely on to manage risk and investment decisions - an institutional and wealth-management buyer base adjacent to CI's own. That work has been equal parts insight generation and analytics engineering: leading the design of an enterprise multi-asset cash-flow projection engine, re-engineering manual spreadsheet reporting into audited Python pipelines, and standing behind the numbers with delegated sign-off on outputs for portfolios of $5-25bn per engagement. I would like to be considered for the Director, Business Analytics and Insights role on CI's D&amp;A team.</w:t>
      </w:r>
    </w:p>
    <w:p>
      <w:r>
        <w:t>What I think transfers most directly to this mandate is the AI-enablement and prototyping discipline. I build with agentic AI workflows daily - Claude Code and Cursor for code generation, validation scaffolding, anomaly detection, and documentation - which has cut development cycle time an estimated 30-40% on comparable modules. I prototype rather than theorize: new pipelines are built in parallel, run in shadow mode against live delivery for two cycles, reconciled, and only then cut over - the same discipline I'd bring to scaling AI use cases across your business partners. On the partnership side, I am the escalation point for client Heads of Risk and investment stakeholders, translate quantitative output into investment-committee-ready narratives, and mentor junior colleagues as senior reviewer within a twelve-person modelling services team.</w:t>
      </w:r>
    </w:p>
    <w:p>
      <w:r>
        <w:t>What draws me to CI specifically is your D&amp;A team's mandate to combine business partnership with practical AI adoption rather than treating it as a lab exercise - the same intersection I have been converging on for seven years across pension, asset-management, and institutional clients. My CFA charter and dual MSc degrees (Financial Modelling; Chemical Engineering) provide the quantitative grounding the role asks for. I am Toronto-based, available to interview immediately, and can start approximately four weeks after offer acceptance.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