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Quantitative risk professional with ~7 years across VaR/CVaR analytics, derivatives pricing validation, and Monte Carlo scenario modelling, applying directly to the Associate Director, Global Risk Analytics mandate at RBC. Holds delegated sign-off on valuation and sensitivity outputs for multi-asset institutional portfolios ($5-25bn per engagement) at Moody's Analytics; built stochastic scenario generators and ran VaR/CVaR portfolio optimization at Ortec Finance. Python, SQL, MATLAB (research background); CFA charterholder with dual MSc degrees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Analytics &amp;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&amp; CVaR (Expected Shortfall)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Pricing Validation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Interest Rate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Monte Carlo &amp; Stochastic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Documentation &amp;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- SQL - MATLAB (research background)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Methodology Review, Documentation &amp; Model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risk outputs for multi-asset institutional portfolios of $5-25bn per engagement (~$50bn+ cumulative), independently reviewing yield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 and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Escalates outputs lacking mathematical or economic defensibility; acts as escalation point for client-critical analytical issues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Market Risk Methodology Review &amp; Derivatives Pricing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interest rate, foreign exchange, and inflation products, confirming sensitivity and scenario-impact consistency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Analyzed interest rate risk and duration exposure under parallel and non-parallel rate shocks across fixed income and derivative positions.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risk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Implementation &amp; Scenario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and stress-scenario engine supporting base, stress, and reverse-stress runs across T+1 to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(pandas, NumPy, SciPy)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documentation, cutting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market exposures, scenario impacts, and portfolio sensitivities, translating model output into 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 and asset managers migrating onto the PFaroe DB (risk &amp; ALM analytics) and PFaroe PM (portfolio management) platforms; scoped investment-team requirements into development requests for product owners and validated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and risk functions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(Monte Carlo)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 flow, liquidity, and hedging analysis across interest rate, inflation, and currency exposures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funds, analyzing funding ratios, duration mismatch, and long-horizon balance-sheet risk across all major asset types.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findings, stress testing results,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