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Associate Director, Global Risk Analytics — RBC</w:t>
      </w:r>
    </w:p>
    <w:p>
      <w:r>
        <w:t>Dear Hiring Team,</w:t>
      </w:r>
    </w:p>
    <w:p>
      <w:r>
        <w:t>I hold delegated sign-off authority on valuation and sensitivity outputs for multi-asset institutional portfolios at Moody's Analytics, independently reviewing yield curve construction, spread calibration, and cross-asset interactions before those numbers are released to a client's risk stakeholders. That review-and-defend discipline is the same one GRA's Market Risk Analytics team applies to RBC's own methodologies, and it is why I am applying for the Associate Director, Global Risk Analytics role.</w:t>
      </w:r>
    </w:p>
    <w:p>
      <w:r>
        <w:t>Across ~7 years I have worked both sides of the methodology lifecycle. At Moody's I validate derivatives pricing outputs across interest rate, foreign exchange, and inflation products, confirm sensitivity consistency at portfolio-level aggregates, review aggregation logic from security level to portfolio risk metrics, and sit on the model governance committee covering methodology review, benchmarking, documentation standards, and model-performance assessment. I have also led the design of a multi-scenario cash flow and stress-testing engine and re-engineered spreadsheet workflows into auditable Python pipelines. Earlier, at Ortec Finance, I ran asset-only and surplus portfolio optimization on VaR and CVaR with risk decomposition and contribution-to-risk analysis, and built Monte Carlo scenario generators calibrated for interest-rate and funding-volatility stress.</w:t>
      </w:r>
    </w:p>
    <w:p>
      <w:r>
        <w:t>What draws me to GRA specifically is the combination of methodology ownership and scenario-engineering work - the two disciplines I have so far applied on institutional and balance-sheet portfolios rather than a trading book. My VaR/CVaR and derivatives-validation experience would mean learning RBC's trading-book and CCR conventions early; the underlying mechanics - curve construction, sensitivity consistency, scenario design, and defensible documentation - carry over directly, and I have a consistent record of presenting quantitative conclusions to senior risk committees. Python and SQL are daily tools; MATLAB dates from my graduate research. I hold the CFA charter and dual MSc degrees in Financial Modelling and Chemical Engineering. I am Toronto-based, available to interview immediately, and can start about four weeks after an offer.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