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Executive Portfolio &amp; Financial Management profile: ~7 years turning complex financial and portfolio data into executive-ready narratives. Holds delegated sign-off authority at Moody's Analytics over analytics delivered to institutional portfolios of $5-25bn per engagement, and serves as the direct escalation contact for clients' Heads of Risk and investment stakeholders when a number needs explaining. Consulting foundation at EY and Ortec Finance coordinating finance, IT, actuarial, and program teams to strict milestone deadlines, including investment-committee presentations at pension-fund clients. CFA charterholder, dual MSc, advanced Excel and Python.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Executive-Level Reporting &amp; Presentations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Translating Complex Data into Actionable Insights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Stakeholder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Financial Analysis &amp; Performance Metrics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&amp; Investment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Long-Term Planning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Operational Efficiency &amp; Process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Advanced Excel &amp; Data Visualization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Executive Reporting &amp; Stakeholder Engagement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recurring and ad-hoc analytical summaries for senior stakeholders on rate exposure, scenario impacts, and balance-sheet sensitivities, translating quantitative output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escalation point for client-critical analytical issues, interfacing directly with clients' Heads of Risk and investment stakeholders on findings, impact, and remediation plans.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Performance &amp; Financial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portfolio analytics delivered to multi-asset institutional portfolios of $5-25bn per engagement, ~$50bn+ cumulative across the book of work.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risk reporting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delivery of an enterprise multi-asset cash flow projection engine supporting base, stress, and reverse-stress scenarios across T+1 to multi-year planning horizons.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Operational Efficiency &amp; Delivery Productivity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documentation, reducing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Quality Assurance &amp; Precision Standards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 governance committee, contributing to methodology review, documentation and benchmarking standards, and performance assessment of client-delivered analytics.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business requirements into development requests and validating outputs post-deployment across all assigned accounts.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 and implementation materials for IFRS 17 and IFRS 9 transformation programs.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of Canadian and international insurance clients on adoption of IFRS 17 and IFRS 9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 for financial institutions.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 for the practice.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on-site to investment committees at Canadian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long-horizon studies for Canadian and international pension funds and institutional investors, analyzing funding ratios, duration mismatch, and balance-sheet exposures over multi-year planning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attribution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Strategic Asset Allocation and Tactical Asset Allocation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study for a three-plan university pension merger on a team of three, developing and validating the model capturing all funding-policy dynamics.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