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Senior Manager, Executive Portfolio &amp; Financial Management — RBC</w:t>
      </w:r>
    </w:p>
    <w:p>
      <w:r>
        <w:t>Dear Hiring Team,</w:t>
      </w:r>
    </w:p>
    <w:p>
      <w:r>
        <w:t>For the past three years I have been the person who signs off on analytics before they reach an institutional client's executive table. At Moody's Analytics I hold delegated sign-off authority on valuation, sensitivity, and portfolio outputs for multi-asset portfolios of $5-25bn per engagement, and I am the escalation contact clients' Heads of Risk call when a number needs to be explained rather than merely reported. That is the core of the Senior Manager, Executive Portfolio &amp; Financial Management mandate: precision first, then a narrative an executive can act on.</w:t>
      </w:r>
    </w:p>
    <w:p>
      <w:r>
        <w:t>The surrounding work maps closely to this role's accountabilities. I prepare recurring and ad-hoc analytical summaries for senior stakeholders on performance, scenario impacts, and balance-sheet sensitivities, translating dense quantitative output into investment-committee-ready storylines under fixed delivery windows. At EY I coordinated actuarial, finance, IT, risk, and program-management functions on milestone deliverables for IFRS 17 and IFRS 9 transformation programs, which closely mirrors the cross-functional choreography a quarterly business review demands. On the productivity side, I built agentic AI development workflows using Claude Code and Cursor that cut development cycle time an estimated 30-40% on comparable modules, and re-engineered manual spreadsheet processes into auditable Python pipelines - so I understand how delivery-efficiency metrics are generated in practice, not just how they are presented on a slide.</w:t>
      </w:r>
    </w:p>
    <w:p>
      <w:r>
        <w:t>What draws me to this posting is its position inside Technology and Operations: it asks for genuine financial rigour applied to a technology portfolio, rather than reporting for its own sake. I have spent seven years serving Canadian pension, insurance, and asset-management executives from the vendor and advisory side, and I would bring that same translation discipline - precise numbers into an executive-ready storyline - to RBC's operating-plan and strategic-initiative reporting cadence. I hold the CFA charter and dual MSc degrees from Western University, and work daily in advanced Excel, Python, and SQL.</w:t>
      </w:r>
    </w:p>
    <w:p>
      <w:r>
        <w:t>I am Toronto-based, available to interview immediately, and can start approximately four weeks after an offer.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