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Director, Business Analytics &amp; Insights candidate with ~7 years turning institutional financial data into executive decisions for asset managers, pension funds, and institutional investors. Holds delegated sign-off on valuation, sensitivity, and ALM analytics for multi-asset institutional portfolios ($5-25bn per engagement) at Moody's Analytics, sits on the model governance committee overseeing documentation, benchmarking, and performance-assessment standards, and re-engineered manual spreadsheet reporting into auditable Python pipelines. Communicates findings and recommendations to senior executives, investment committees, and Heads of Risk. CFA charterholder,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Business Analytics &amp; Insight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Senior-Stakeholder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Performance Measurement &amp; KPI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(Plotly, matplotlib, Excel)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&amp; Data Governance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Enterprise Analytics Platform Implementation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Partnership: Technology, Product &amp; Data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Agentic AI Workflow Automation (Claude Code, Cursor)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Onboarding &amp; Requirements Scoping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Institutional Asset Management &amp; Pension Client Analytics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Delivery &amp; Executive Insight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on exposures, scenario impacts, and balance-sheet sensitivities, translating quantitative output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analytics delivered to multi-asset institutional client portfolios of $5-25bn per engagement (~$50bn+ cumulative across the book of work).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for client-critical analytical issues, interfacing directly with clients' Heads of Risk and investment stakeholders, and escalating output lacking economic defensibility.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Reporting Solutions, Data Quality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data into portfolio-level metrics, supporting data governance and data-quality standards across downstream ALM, reporting,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Contributes as a member of the model governance committee to methodology review, documentation and benchmarking standards, and performance assessment of client-delivered analytics.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Modernization &amp; Technology Partnership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giving clients forward-looking visibility across planning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enabling funding, refinancing,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business requirements into prioritized development requests and validating model output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environment to the PFaroe PM platform on schedule.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reporting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delivery, governance documentation, and implementation materials.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 for the practice.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analytical studies for Canadian and international pension funds and institutional investors, quantifying funding outcomes and long-horizon portfolio risk to support committee-level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strategic allocation recommendations on-site to investment committees at Canadian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 and attribution to test the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Asset Allocation and Tactical Asset Allocation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study for a three-plan university pension merger on a team of three, developing and validating the model capturing all funding-policy dynamics.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