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15, 2026</w:t>
      </w:r>
    </w:p>
    <w:p>
      <w:r>
        <w:t>Re: Director, Business Analytics &amp; Insights — Robertson &amp; Company Ltd.</w:t>
      </w:r>
    </w:p>
    <w:p>
      <w:r>
        <w:t>Dear Hiring Team,</w:t>
      </w:r>
    </w:p>
    <w:p>
      <w:r>
        <w:t>At Moody's Analytics I hold delegated sign-off authority on valuation, sensitivity, and ALM analytics delivered to institutional asset managers, pension funds, and consulting firms — portfolios of $5-25bn per engagement, cumulatively $50bn+ across my book of work. I am the person my clients' Heads of Risk call when a number does not look right, and the one who owns the narrative their investment committees ultimately act on. That is the discipline I would bring to the Director, Business Analytics &amp; Insights mandate: converting contested data into recommendations senior leaders can commit to.</w:t>
      </w:r>
    </w:p>
    <w:p>
      <w:r>
        <w:t>My work spans the layers this role connects. On insight and reporting: I prepare analytical summaries for senior stakeholders on exposures, scenario impacts, and sensitivities, translating quantitative output into executive-ready narratives. On data quality and governance: I re-engineered manual spreadsheet workflows into auditable Python pipelines and sit on Moody's model governance committee, which sets documentation, benchmarking, and performance-assessment standards for client-delivered analytics — the closest analogue, in my world, to enterprise data governance. On technology partnership: I led institutional client onboarding onto our analytics platform, migrated accounts off a legacy system, and translated business requirements into prioritized development work with product owners, and more recently built agentic AI workflows (Claude Code, Cursor) that cut development cycle time 30-40%. The one layer I have not yet applied to sales, marketing, and advisor-engagement metrics specifically is the natural extension this role represents — built on the same governance, stakeholder-management, and pipeline disciplines.</w:t>
      </w:r>
    </w:p>
    <w:p>
      <w:r>
        <w:t>Earlier, at Ortec Finance, I presented ALM findings and allocation recommendations directly to pension investment committees and ran VaR/CVaR portfolio optimization with risk decomposition on the GLASS platform; at EY I coordinated actuarial, finance, IT, and program teams through IFRS 17 delivery. Across roughly seven years the constant has been the same: sit between the business and the data, and make the output defensible enough that executives commit to it. I hold the CFA charter and dual MSc degrees (Financial Modelling; Chemical Engineering) from Western University, am Toronto-based and available for the four-day hybrid schedule, and can start approximately four weeks after an offer.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