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Analytics and insights professional with ~7 years across asset management, pension, and insurance clients — directly aligned to the Director, Business Analytics &amp; Insights mandate. Holds delegated sign-off on valuation, sensitivity, and portfolio analytics delivered to institutional portfolios of $5-25bn per engagement at Moody's Analytics, translating those outputs into executive- and investment-committee-ready reporting. Re-engineered manual spreadsheet workflows into auditable Python pipelines, and partners with product, technology, and client stakeholders on model governance, validation, and reporting quality. CFA; dual MSc.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Executive &amp; Committee-Level Reporting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Scenario &amp; Stress-Testing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Multi-Asset Investment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(pandas, NumPy, SciPy)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SQL / PostgreSQL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Data Visualization (Plotly, Excel)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Governance &amp; Data Auditability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Partnership (Technology, Product, Client Teams)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Asset Management &amp; Pension Domain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Client Onboarding &amp; Requirements Scoping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Decomposition &amp; Attribution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Mentoring &amp; Senior Analytical Review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Director,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Analytics, Insights &amp; Executive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portfolio analytics delivered to institutional clients - portfolios of $5-25bn per engagement, ~$50bn+ cumulative - independently reviewing methodology and results before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Translates complex quantitative outputs into decision-ready reporting for senior stakeholders, covering portfolio exposures, scenario impacts, and balance-sheet sensitivities for investment committees.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as escalation point for client-critical analytical issues, interfacing directly with clients' Heads of Risk and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Advanced Analytics &amp; Solution Build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 analysis across multi-year horizons.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analytics (T+1 through multi-year) enabling funding, refinancing, and asset-allocation decisions for institutional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anomaly detection, and documentation - cutting development cycle time an estimated 30-40% on comparable modules.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Data Quality, Model Governance &amp; Auditability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Serves on the model governance committee, contributing to methodology review, documentation and benchmarking standards, and model-performance assessment for client-delivered analytics.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Reviews aggregation logic converting security-level exposures into portfolio-level metrics feeding downstream reporting; mentors junior colleagues within the ~12-person Modelling Services team.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adopting the PFaroe DB (risk &amp; ALM) and PFaroe PM (portfolio management) analytics platforms.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Acted as technical liaison between client investment teams and product owners - scoping business requirements into development requests and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Contributed to the successful migration of all assigned client accounts from the legacy Calypso platform to PFaroe PM.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Consultant, Financial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programs for Canadian and international insurers, aligning reporting requirements with system implementation.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actuarial, finance, IT, risk, and program-management teams on milestone delivery and implementation materials.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Developed advisory product offerings and go-to-market collateral for IFRS 17 implementation services.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Consultant, ALM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Presented study findings and allocation recommendations directly to investment committees at Canadian pension-fund clients.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portfolio optimization on VaR and CVaR using Ortec's GLASS platform, with risk decomposition and near-optimal frontier analysis to test the robustness of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assessing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ALM studies for pension funds and institutional investors - funding ratios, duration mismatch, and long-term balance-sheet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a three-plan university pension merger on a team of three, developing and validating the model capturing all funding-policy dynamics.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