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15, 2026</w:t>
      </w:r>
    </w:p>
    <w:p>
      <w:r>
        <w:t>Re: Director Business Analytics &amp; Insights — Robertson &amp; Company</w:t>
      </w:r>
    </w:p>
    <w:p>
      <w:r>
        <w:t>Dear Hiring Team,</w:t>
      </w:r>
    </w:p>
    <w:p>
      <w:r>
        <w:t>The analytics an executive team acts on has to be right the first time - that is the seat I hold today. At Moody's Analytics I carry delegated sign-off on valuation, sensitivity, and portfolio analytics delivered to institutional clients with portfolios of $5-25bn per engagement, and I am the one who translates those outputs into the summaries investment committees act on. I would like to be considered for the Director, Business Analytics &amp; Insights role.</w:t>
      </w:r>
    </w:p>
    <w:p>
      <w:r>
        <w:t>Three parts of my record map to this mandate. Delivery: I led the design of an enterprise multi-asset cash-flow projection engine and configurable time-bucketed analytics that institutional clients use for funding and allocation decisions, and I re-engineered manual spreadsheet reporting into Python pipelines with logging, validation, and auditability built in. Governance: I sit on Moody's model governance committee, where methodology review, documentation standards, and model-performance assessment are the daily work - a discipline directly transferable to keeping enterprise data and reporting trustworthy. Partnership: as technical liaison between client investment teams and product owners, I scoped business requirements into development requests and validated outputs post-deployment; at EY I coordinated actuarial, finance, IT, and risk functions through IFRS 17 programs and built the go-to-market collateral behind that offering.</w:t>
      </w:r>
    </w:p>
    <w:p>
      <w:r>
        <w:t>What draws me to this role is the caliber of institutional relationship it demands. My client book at Moody's spans asset managers, pension funds, and consulting firms who rely on my analytics for allocation and risk decisions, and at Ortec Finance I presented study findings and allocation recommendations directly to pension investment committees. That combination - rigorous technical delivery paired with executive-level trust - is what I understand this mandate requires, and I am equally comfortable modernizing the analytics toolkit (Python-based pipelines and agentic AI workflows that have cut development cycle time an estimated 30-40% on comparable modules) as I am defending a number in front of senior leadership. I am Toronto-based, comfortable with a four-day hybrid schedule, available to interview immediately, and able to start approximately four weeks after an offer. My resume is attached; references are available on request. Thank you for your time.</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